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5E" w:rsidRDefault="0042795E" w:rsidP="0022195F">
      <w:pPr>
        <w:jc w:val="center"/>
        <w:rPr>
          <w:rFonts w:asciiTheme="minorEastAsia" w:hAnsiTheme="minorEastAsia"/>
          <w:b/>
          <w:sz w:val="32"/>
          <w:szCs w:val="32"/>
        </w:rPr>
      </w:pPr>
      <w:r w:rsidRPr="0042795E">
        <w:rPr>
          <w:rFonts w:asciiTheme="minorEastAsia" w:hAnsiTheme="minorEastAsia" w:hint="eastAsia"/>
          <w:b/>
          <w:sz w:val="32"/>
          <w:szCs w:val="32"/>
        </w:rPr>
        <w:t>中融-中胜涨乐3号量化对冲集合资金信托计划</w:t>
      </w:r>
    </w:p>
    <w:p w:rsidR="0022195F" w:rsidRDefault="00723066" w:rsidP="0022195F">
      <w:pPr>
        <w:jc w:val="center"/>
        <w:rPr>
          <w:rFonts w:asciiTheme="minorEastAsia" w:hAnsiTheme="minorEastAsia" w:hint="eastAsia"/>
          <w:b/>
          <w:sz w:val="32"/>
          <w:szCs w:val="32"/>
        </w:rPr>
      </w:pPr>
      <w:r>
        <w:rPr>
          <w:rFonts w:asciiTheme="minorEastAsia" w:hAnsiTheme="minorEastAsia" w:hint="eastAsia"/>
          <w:b/>
          <w:sz w:val="32"/>
          <w:szCs w:val="32"/>
        </w:rPr>
        <w:t>第</w:t>
      </w:r>
      <w:r w:rsidR="005804FB">
        <w:rPr>
          <w:rFonts w:asciiTheme="minorEastAsia" w:hAnsiTheme="minorEastAsia" w:hint="eastAsia"/>
          <w:b/>
          <w:sz w:val="32"/>
          <w:szCs w:val="32"/>
        </w:rPr>
        <w:t>三</w:t>
      </w:r>
      <w:r>
        <w:rPr>
          <w:rFonts w:asciiTheme="minorEastAsia" w:hAnsiTheme="minorEastAsia" w:hint="eastAsia"/>
          <w:b/>
          <w:sz w:val="32"/>
          <w:szCs w:val="32"/>
        </w:rPr>
        <w:t>次受益人大会</w:t>
      </w:r>
      <w:r w:rsidR="00B8665C" w:rsidRPr="00904D1B">
        <w:rPr>
          <w:rFonts w:asciiTheme="minorEastAsia" w:hAnsiTheme="minorEastAsia" w:hint="eastAsia"/>
          <w:b/>
          <w:sz w:val="32"/>
          <w:szCs w:val="32"/>
        </w:rPr>
        <w:t>表决票</w:t>
      </w:r>
    </w:p>
    <w:p w:rsidR="00194D3C" w:rsidRPr="00904D1B" w:rsidRDefault="00194D3C" w:rsidP="0022195F">
      <w:pPr>
        <w:jc w:val="center"/>
        <w:rPr>
          <w:rFonts w:asciiTheme="minorEastAsia" w:hAnsiTheme="minorEastAsia"/>
          <w:b/>
          <w:sz w:val="32"/>
          <w:szCs w:val="32"/>
        </w:rPr>
      </w:pPr>
    </w:p>
    <w:p w:rsidR="0022195F" w:rsidRDefault="00230BCE" w:rsidP="00230BCE">
      <w:pPr>
        <w:pStyle w:val="a7"/>
        <w:numPr>
          <w:ilvl w:val="0"/>
          <w:numId w:val="2"/>
        </w:numPr>
        <w:ind w:firstLineChars="0"/>
        <w:rPr>
          <w:rFonts w:ascii="仿宋_GB2312" w:eastAsia="仿宋_GB2312"/>
          <w:sz w:val="28"/>
          <w:szCs w:val="28"/>
        </w:rPr>
      </w:pPr>
      <w:r>
        <w:rPr>
          <w:rFonts w:ascii="仿宋_GB2312" w:eastAsia="仿宋_GB2312" w:hint="eastAsia"/>
          <w:sz w:val="28"/>
          <w:szCs w:val="28"/>
        </w:rPr>
        <w:t>表决</w:t>
      </w:r>
      <w:r w:rsidRPr="00230BCE">
        <w:rPr>
          <w:rFonts w:ascii="仿宋_GB2312" w:eastAsia="仿宋_GB2312" w:hint="eastAsia"/>
          <w:sz w:val="28"/>
          <w:szCs w:val="28"/>
        </w:rPr>
        <w:t>人资料</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受益人姓名/名称：</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身份证件/证照号码：</w:t>
      </w:r>
    </w:p>
    <w:p w:rsidR="002A6E3D" w:rsidRDefault="00FD2560"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机构受益人法定代表人/负责人姓名</w:t>
      </w:r>
      <w:r w:rsidR="002A6E3D">
        <w:rPr>
          <w:rFonts w:ascii="仿宋_GB2312" w:eastAsia="仿宋_GB2312" w:hint="eastAsia"/>
          <w:sz w:val="28"/>
          <w:szCs w:val="28"/>
        </w:rPr>
        <w:t>：</w:t>
      </w:r>
    </w:p>
    <w:p w:rsidR="00FD2560" w:rsidRDefault="00FD2560"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法定代表人/负责人身份证件号码</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持有信托份额：</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代理人姓名：</w:t>
      </w:r>
      <w:r w:rsidR="00BF604E">
        <w:rPr>
          <w:rFonts w:ascii="仿宋_GB2312" w:eastAsia="仿宋_GB2312" w:hint="eastAsia"/>
          <w:sz w:val="28"/>
          <w:szCs w:val="28"/>
        </w:rPr>
        <w:t>（或有）</w:t>
      </w:r>
    </w:p>
    <w:p w:rsidR="00230BCE" w:rsidRP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代理人身份证件号码：</w:t>
      </w:r>
      <w:r w:rsidR="00BF604E">
        <w:rPr>
          <w:rFonts w:ascii="仿宋_GB2312" w:eastAsia="仿宋_GB2312" w:hint="eastAsia"/>
          <w:sz w:val="28"/>
          <w:szCs w:val="28"/>
        </w:rPr>
        <w:t>（或有）</w:t>
      </w:r>
    </w:p>
    <w:p w:rsidR="00230BCE" w:rsidRPr="00230BCE" w:rsidRDefault="00723066" w:rsidP="00230BCE">
      <w:pPr>
        <w:pStyle w:val="a7"/>
        <w:numPr>
          <w:ilvl w:val="0"/>
          <w:numId w:val="2"/>
        </w:numPr>
        <w:ind w:firstLineChars="0"/>
        <w:rPr>
          <w:rFonts w:ascii="仿宋_GB2312" w:eastAsia="仿宋_GB2312"/>
          <w:sz w:val="28"/>
          <w:szCs w:val="28"/>
        </w:rPr>
      </w:pPr>
      <w:r>
        <w:rPr>
          <w:rFonts w:ascii="仿宋_GB2312" w:eastAsia="仿宋_GB2312" w:hint="eastAsia"/>
          <w:sz w:val="28"/>
          <w:szCs w:val="28"/>
        </w:rPr>
        <w:t>审议事项</w:t>
      </w:r>
      <w:r w:rsidR="00230BCE">
        <w:rPr>
          <w:rFonts w:ascii="仿宋_GB2312" w:eastAsia="仿宋_GB2312" w:hint="eastAsia"/>
          <w:sz w:val="28"/>
          <w:szCs w:val="28"/>
        </w:rPr>
        <w:t>及表决</w:t>
      </w:r>
      <w:r w:rsidR="00834484">
        <w:rPr>
          <w:rFonts w:ascii="仿宋_GB2312" w:eastAsia="仿宋_GB2312" w:hint="eastAsia"/>
          <w:sz w:val="28"/>
          <w:szCs w:val="28"/>
        </w:rPr>
        <w:t>意见</w:t>
      </w:r>
      <w:r w:rsidR="000B2DFE">
        <w:rPr>
          <w:rFonts w:ascii="仿宋_GB2312" w:eastAsia="仿宋_GB2312" w:hint="eastAsia"/>
          <w:sz w:val="28"/>
          <w:szCs w:val="28"/>
        </w:rPr>
        <w:t>（请在相应意见后标记“√”）</w:t>
      </w:r>
    </w:p>
    <w:tbl>
      <w:tblPr>
        <w:tblStyle w:val="a6"/>
        <w:tblW w:w="9039" w:type="dxa"/>
        <w:tblLook w:val="04A0" w:firstRow="1" w:lastRow="0" w:firstColumn="1" w:lastColumn="0" w:noHBand="0" w:noVBand="1"/>
      </w:tblPr>
      <w:tblGrid>
        <w:gridCol w:w="5920"/>
        <w:gridCol w:w="992"/>
        <w:gridCol w:w="1106"/>
        <w:gridCol w:w="1021"/>
      </w:tblGrid>
      <w:tr w:rsidR="00E31800" w:rsidTr="00E91FDA">
        <w:tc>
          <w:tcPr>
            <w:tcW w:w="5920" w:type="dxa"/>
            <w:vMerge w:val="restart"/>
            <w:vAlign w:val="center"/>
          </w:tcPr>
          <w:p w:rsidR="00E31800" w:rsidRDefault="00723066" w:rsidP="00E31800">
            <w:pPr>
              <w:jc w:val="center"/>
              <w:rPr>
                <w:rFonts w:ascii="仿宋_GB2312" w:eastAsia="仿宋_GB2312"/>
                <w:sz w:val="28"/>
                <w:szCs w:val="28"/>
              </w:rPr>
            </w:pPr>
            <w:r>
              <w:rPr>
                <w:rFonts w:ascii="仿宋_GB2312" w:eastAsia="仿宋_GB2312" w:hint="eastAsia"/>
                <w:sz w:val="28"/>
                <w:szCs w:val="28"/>
              </w:rPr>
              <w:t>审议事项</w:t>
            </w:r>
          </w:p>
        </w:tc>
        <w:tc>
          <w:tcPr>
            <w:tcW w:w="3119" w:type="dxa"/>
            <w:gridSpan w:val="3"/>
          </w:tcPr>
          <w:p w:rsidR="00E31800" w:rsidRDefault="00E31800" w:rsidP="00834484">
            <w:pPr>
              <w:jc w:val="center"/>
              <w:rPr>
                <w:rFonts w:ascii="仿宋_GB2312" w:eastAsia="仿宋_GB2312"/>
                <w:sz w:val="28"/>
                <w:szCs w:val="28"/>
              </w:rPr>
            </w:pPr>
            <w:r>
              <w:rPr>
                <w:rFonts w:ascii="仿宋_GB2312" w:eastAsia="仿宋_GB2312" w:hint="eastAsia"/>
                <w:sz w:val="28"/>
                <w:szCs w:val="28"/>
              </w:rPr>
              <w:t>表决意见</w:t>
            </w:r>
          </w:p>
        </w:tc>
      </w:tr>
      <w:tr w:rsidR="00E31800" w:rsidTr="00E91FDA">
        <w:tc>
          <w:tcPr>
            <w:tcW w:w="5920" w:type="dxa"/>
            <w:vMerge/>
          </w:tcPr>
          <w:p w:rsidR="00E31800" w:rsidRDefault="00E31800" w:rsidP="00230BCE">
            <w:pPr>
              <w:rPr>
                <w:rFonts w:ascii="仿宋_GB2312" w:eastAsia="仿宋_GB2312"/>
                <w:sz w:val="28"/>
                <w:szCs w:val="28"/>
              </w:rPr>
            </w:pPr>
          </w:p>
        </w:tc>
        <w:tc>
          <w:tcPr>
            <w:tcW w:w="992" w:type="dxa"/>
          </w:tcPr>
          <w:p w:rsidR="00E31800" w:rsidRDefault="00E31800" w:rsidP="00230BCE">
            <w:pPr>
              <w:rPr>
                <w:rFonts w:ascii="仿宋_GB2312" w:eastAsia="仿宋_GB2312"/>
                <w:sz w:val="28"/>
                <w:szCs w:val="28"/>
              </w:rPr>
            </w:pPr>
            <w:r>
              <w:rPr>
                <w:rFonts w:ascii="仿宋_GB2312" w:eastAsia="仿宋_GB2312" w:hint="eastAsia"/>
                <w:sz w:val="28"/>
                <w:szCs w:val="28"/>
              </w:rPr>
              <w:t>同意</w:t>
            </w:r>
          </w:p>
        </w:tc>
        <w:tc>
          <w:tcPr>
            <w:tcW w:w="1106" w:type="dxa"/>
          </w:tcPr>
          <w:p w:rsidR="00E31800" w:rsidRDefault="00E31800" w:rsidP="00230BCE">
            <w:pPr>
              <w:rPr>
                <w:rFonts w:ascii="仿宋_GB2312" w:eastAsia="仿宋_GB2312"/>
                <w:sz w:val="28"/>
                <w:szCs w:val="28"/>
              </w:rPr>
            </w:pPr>
            <w:r>
              <w:rPr>
                <w:rFonts w:ascii="仿宋_GB2312" w:eastAsia="仿宋_GB2312" w:hint="eastAsia"/>
                <w:sz w:val="28"/>
                <w:szCs w:val="28"/>
              </w:rPr>
              <w:t>反对</w:t>
            </w:r>
          </w:p>
        </w:tc>
        <w:tc>
          <w:tcPr>
            <w:tcW w:w="1021" w:type="dxa"/>
          </w:tcPr>
          <w:p w:rsidR="00E31800" w:rsidRDefault="00E31800" w:rsidP="00230BCE">
            <w:pPr>
              <w:rPr>
                <w:rFonts w:ascii="仿宋_GB2312" w:eastAsia="仿宋_GB2312"/>
                <w:sz w:val="28"/>
                <w:szCs w:val="28"/>
              </w:rPr>
            </w:pPr>
            <w:r>
              <w:rPr>
                <w:rFonts w:ascii="仿宋_GB2312" w:eastAsia="仿宋_GB2312" w:hint="eastAsia"/>
                <w:sz w:val="28"/>
                <w:szCs w:val="28"/>
              </w:rPr>
              <w:t>弃权</w:t>
            </w:r>
          </w:p>
        </w:tc>
      </w:tr>
      <w:tr w:rsidR="00834484" w:rsidTr="00E91FDA">
        <w:tc>
          <w:tcPr>
            <w:tcW w:w="5920" w:type="dxa"/>
          </w:tcPr>
          <w:p w:rsidR="00834484" w:rsidRDefault="00095DF0" w:rsidP="00194D3C">
            <w:pPr>
              <w:spacing w:line="500" w:lineRule="exact"/>
              <w:rPr>
                <w:rFonts w:ascii="仿宋_GB2312" w:eastAsia="仿宋_GB2312"/>
                <w:sz w:val="28"/>
                <w:szCs w:val="28"/>
              </w:rPr>
            </w:pPr>
            <w:r>
              <w:rPr>
                <w:rFonts w:ascii="仿宋_GB2312" w:eastAsia="仿宋_GB2312" w:hint="eastAsia"/>
                <w:sz w:val="28"/>
                <w:szCs w:val="28"/>
              </w:rPr>
              <w:t>1.</w:t>
            </w:r>
            <w:r w:rsidR="005804FB" w:rsidRPr="005804FB">
              <w:rPr>
                <w:rFonts w:ascii="仿宋_GB2312" w:eastAsia="仿宋_GB2312" w:hAnsi="宋体" w:hint="eastAsia"/>
                <w:b/>
                <w:bCs/>
                <w:sz w:val="28"/>
                <w:szCs w:val="28"/>
              </w:rPr>
              <w:t xml:space="preserve"> </w:t>
            </w:r>
            <w:r w:rsidR="005804FB" w:rsidRPr="005804FB">
              <w:rPr>
                <w:rFonts w:ascii="仿宋_GB2312" w:eastAsia="仿宋_GB2312" w:hint="eastAsia"/>
                <w:bCs/>
                <w:sz w:val="28"/>
                <w:szCs w:val="28"/>
              </w:rPr>
              <w:t>增加产品投资范围</w:t>
            </w:r>
            <w:r w:rsidR="005804FB">
              <w:rPr>
                <w:rFonts w:ascii="仿宋_GB2312" w:eastAsia="仿宋_GB2312" w:hint="eastAsia"/>
                <w:bCs/>
                <w:sz w:val="28"/>
                <w:szCs w:val="28"/>
              </w:rPr>
              <w:t>：</w:t>
            </w:r>
            <w:r w:rsidR="008F24DE">
              <w:rPr>
                <w:rFonts w:ascii="仿宋_GB2312" w:eastAsia="仿宋_GB2312" w:hint="eastAsia"/>
                <w:sz w:val="28"/>
                <w:szCs w:val="28"/>
              </w:rPr>
              <w:t>增加</w:t>
            </w:r>
            <w:r w:rsidR="008F24DE" w:rsidRPr="00127C9C">
              <w:rPr>
                <w:rFonts w:ascii="仿宋_GB2312" w:eastAsia="仿宋_GB2312" w:hAnsi="宋体" w:hint="eastAsia"/>
                <w:b/>
                <w:sz w:val="28"/>
                <w:szCs w:val="28"/>
              </w:rPr>
              <w:t>私募证券投资基金</w:t>
            </w:r>
            <w:r w:rsidR="008F24DE" w:rsidRPr="008F24DE">
              <w:rPr>
                <w:rFonts w:ascii="仿宋_GB2312" w:eastAsia="仿宋_GB2312" w:hAnsi="宋体" w:hint="eastAsia"/>
                <w:sz w:val="28"/>
                <w:szCs w:val="28"/>
              </w:rPr>
              <w:t>作为本信托计划的投资范围之一</w:t>
            </w:r>
            <w:r w:rsidR="008F24DE">
              <w:rPr>
                <w:rFonts w:ascii="仿宋_GB2312" w:eastAsia="仿宋_GB2312" w:hAnsi="宋体" w:hint="eastAsia"/>
                <w:sz w:val="28"/>
                <w:szCs w:val="28"/>
              </w:rPr>
              <w:t>，且</w:t>
            </w:r>
            <w:r w:rsidR="008F24DE" w:rsidRPr="008F24DE">
              <w:rPr>
                <w:rFonts w:ascii="仿宋_GB2312" w:eastAsia="仿宋_GB2312" w:hAnsi="宋体" w:hint="eastAsia"/>
                <w:sz w:val="28"/>
                <w:szCs w:val="28"/>
              </w:rPr>
              <w:t>受托人可将本信托计划项下信托计划资金全部投资于经受托人筛选认可、业绩优秀的私募证券投资基金。</w:t>
            </w:r>
          </w:p>
        </w:tc>
        <w:tc>
          <w:tcPr>
            <w:tcW w:w="992" w:type="dxa"/>
          </w:tcPr>
          <w:p w:rsidR="00834484" w:rsidRDefault="00834484" w:rsidP="00230BCE">
            <w:pPr>
              <w:rPr>
                <w:rFonts w:ascii="仿宋_GB2312" w:eastAsia="仿宋_GB2312"/>
                <w:sz w:val="28"/>
                <w:szCs w:val="28"/>
              </w:rPr>
            </w:pPr>
          </w:p>
        </w:tc>
        <w:tc>
          <w:tcPr>
            <w:tcW w:w="1106" w:type="dxa"/>
          </w:tcPr>
          <w:p w:rsidR="00834484" w:rsidRDefault="00834484" w:rsidP="00230BCE">
            <w:pPr>
              <w:rPr>
                <w:rFonts w:ascii="仿宋_GB2312" w:eastAsia="仿宋_GB2312"/>
                <w:sz w:val="28"/>
                <w:szCs w:val="28"/>
              </w:rPr>
            </w:pPr>
          </w:p>
        </w:tc>
        <w:tc>
          <w:tcPr>
            <w:tcW w:w="1021" w:type="dxa"/>
          </w:tcPr>
          <w:p w:rsidR="00834484" w:rsidRDefault="00834484" w:rsidP="00230BCE">
            <w:pPr>
              <w:rPr>
                <w:rFonts w:ascii="仿宋_GB2312" w:eastAsia="仿宋_GB2312"/>
                <w:sz w:val="28"/>
                <w:szCs w:val="28"/>
              </w:rPr>
            </w:pPr>
          </w:p>
        </w:tc>
      </w:tr>
      <w:tr w:rsidR="00265C3C" w:rsidTr="00E91FDA">
        <w:tc>
          <w:tcPr>
            <w:tcW w:w="5920" w:type="dxa"/>
          </w:tcPr>
          <w:p w:rsidR="00265C3C" w:rsidRPr="00265C3C" w:rsidRDefault="00265C3C" w:rsidP="00194D3C">
            <w:pPr>
              <w:spacing w:line="540" w:lineRule="exact"/>
              <w:rPr>
                <w:rFonts w:ascii="仿宋_GB2312" w:eastAsia="仿宋_GB2312"/>
                <w:sz w:val="28"/>
                <w:szCs w:val="28"/>
              </w:rPr>
            </w:pPr>
            <w:r>
              <w:rPr>
                <w:rFonts w:ascii="仿宋_GB2312" w:eastAsia="仿宋_GB2312" w:hint="eastAsia"/>
                <w:sz w:val="28"/>
                <w:szCs w:val="28"/>
              </w:rPr>
              <w:t>2.</w:t>
            </w:r>
            <w:r>
              <w:rPr>
                <w:rFonts w:hint="eastAsia"/>
              </w:rPr>
              <w:t xml:space="preserve"> </w:t>
            </w:r>
            <w:r w:rsidR="008F24DE" w:rsidRPr="008F24DE">
              <w:rPr>
                <w:rFonts w:ascii="仿宋_GB2312" w:eastAsia="仿宋_GB2312" w:hint="eastAsia"/>
                <w:b/>
                <w:bCs/>
                <w:sz w:val="28"/>
                <w:szCs w:val="28"/>
              </w:rPr>
              <w:t>取消本信托</w:t>
            </w:r>
            <w:r w:rsidR="008F24DE">
              <w:rPr>
                <w:rFonts w:ascii="仿宋_GB2312" w:eastAsia="仿宋_GB2312" w:hint="eastAsia"/>
                <w:b/>
                <w:bCs/>
                <w:sz w:val="28"/>
                <w:szCs w:val="28"/>
              </w:rPr>
              <w:t>计划</w:t>
            </w:r>
            <w:r w:rsidR="008F24DE" w:rsidRPr="008F24DE">
              <w:rPr>
                <w:rFonts w:ascii="仿宋_GB2312" w:eastAsia="仿宋_GB2312" w:hint="eastAsia"/>
                <w:b/>
                <w:bCs/>
                <w:sz w:val="28"/>
                <w:szCs w:val="28"/>
              </w:rPr>
              <w:t>的投资顾问</w:t>
            </w:r>
            <w:r w:rsidR="008F24DE">
              <w:rPr>
                <w:rFonts w:ascii="仿宋_GB2312" w:eastAsia="仿宋_GB2312" w:hint="eastAsia"/>
                <w:b/>
                <w:bCs/>
                <w:sz w:val="28"/>
                <w:szCs w:val="28"/>
              </w:rPr>
              <w:t>：</w:t>
            </w:r>
            <w:r w:rsidR="008F24DE" w:rsidRPr="008F24DE">
              <w:rPr>
                <w:rFonts w:ascii="仿宋_GB2312" w:eastAsia="仿宋_GB2312" w:hint="eastAsia"/>
                <w:sz w:val="28"/>
                <w:szCs w:val="28"/>
              </w:rPr>
              <w:t>本</w:t>
            </w:r>
            <w:r w:rsidR="008F24DE">
              <w:rPr>
                <w:rFonts w:ascii="仿宋_GB2312" w:eastAsia="仿宋_GB2312" w:hint="eastAsia"/>
                <w:sz w:val="28"/>
                <w:szCs w:val="28"/>
              </w:rPr>
              <w:t>信托计划</w:t>
            </w:r>
            <w:r w:rsidR="008F24DE" w:rsidRPr="008F24DE">
              <w:rPr>
                <w:rFonts w:ascii="仿宋_GB2312" w:eastAsia="仿宋_GB2312" w:hint="eastAsia"/>
                <w:sz w:val="28"/>
                <w:szCs w:val="28"/>
              </w:rPr>
              <w:t>不再设置投资顾问，原投资顾问不再从</w:t>
            </w:r>
            <w:r w:rsidR="008F24DE">
              <w:rPr>
                <w:rFonts w:ascii="仿宋_GB2312" w:eastAsia="仿宋_GB2312" w:hint="eastAsia"/>
                <w:sz w:val="28"/>
                <w:szCs w:val="28"/>
              </w:rPr>
              <w:t>本信托计划</w:t>
            </w:r>
            <w:r w:rsidR="008F24DE" w:rsidRPr="008F24DE">
              <w:rPr>
                <w:rFonts w:ascii="仿宋_GB2312" w:eastAsia="仿宋_GB2312" w:hint="eastAsia"/>
                <w:sz w:val="28"/>
                <w:szCs w:val="28"/>
              </w:rPr>
              <w:t>中提取投资顾问费（</w:t>
            </w:r>
            <w:r w:rsidR="008F24DE" w:rsidRPr="008F24DE">
              <w:rPr>
                <w:rFonts w:ascii="仿宋_GB2312" w:eastAsia="仿宋_GB2312"/>
                <w:sz w:val="28"/>
                <w:szCs w:val="28"/>
              </w:rPr>
              <w:t>第二部分信托管理费</w:t>
            </w:r>
            <w:r w:rsidR="008F24DE" w:rsidRPr="008F24DE">
              <w:rPr>
                <w:rFonts w:ascii="仿宋_GB2312" w:eastAsia="仿宋_GB2312" w:hint="eastAsia"/>
                <w:sz w:val="28"/>
                <w:szCs w:val="28"/>
              </w:rPr>
              <w:t>）以及特定信托利益。</w:t>
            </w:r>
          </w:p>
        </w:tc>
        <w:tc>
          <w:tcPr>
            <w:tcW w:w="992" w:type="dxa"/>
          </w:tcPr>
          <w:p w:rsidR="00265C3C" w:rsidRDefault="00265C3C" w:rsidP="00230BCE">
            <w:pPr>
              <w:rPr>
                <w:rFonts w:ascii="仿宋_GB2312" w:eastAsia="仿宋_GB2312"/>
                <w:sz w:val="28"/>
                <w:szCs w:val="28"/>
              </w:rPr>
            </w:pPr>
          </w:p>
        </w:tc>
        <w:tc>
          <w:tcPr>
            <w:tcW w:w="1106" w:type="dxa"/>
          </w:tcPr>
          <w:p w:rsidR="00265C3C" w:rsidRDefault="00265C3C" w:rsidP="00230BCE">
            <w:pPr>
              <w:rPr>
                <w:rFonts w:ascii="仿宋_GB2312" w:eastAsia="仿宋_GB2312"/>
                <w:sz w:val="28"/>
                <w:szCs w:val="28"/>
              </w:rPr>
            </w:pPr>
          </w:p>
        </w:tc>
        <w:tc>
          <w:tcPr>
            <w:tcW w:w="1021" w:type="dxa"/>
          </w:tcPr>
          <w:p w:rsidR="00265C3C" w:rsidRDefault="00265C3C" w:rsidP="00230BCE">
            <w:pPr>
              <w:rPr>
                <w:rFonts w:ascii="仿宋_GB2312" w:eastAsia="仿宋_GB2312"/>
                <w:sz w:val="28"/>
                <w:szCs w:val="28"/>
              </w:rPr>
            </w:pPr>
          </w:p>
        </w:tc>
      </w:tr>
      <w:tr w:rsidR="008F24DE" w:rsidTr="00E91FDA">
        <w:tc>
          <w:tcPr>
            <w:tcW w:w="5920" w:type="dxa"/>
          </w:tcPr>
          <w:p w:rsidR="008F24DE" w:rsidRDefault="008F24DE" w:rsidP="00194D3C">
            <w:pPr>
              <w:spacing w:line="500" w:lineRule="exact"/>
              <w:rPr>
                <w:rFonts w:ascii="仿宋_GB2312" w:eastAsia="仿宋_GB2312" w:hint="eastAsia"/>
                <w:bCs/>
                <w:sz w:val="28"/>
                <w:szCs w:val="28"/>
              </w:rPr>
            </w:pPr>
            <w:r>
              <w:rPr>
                <w:rFonts w:ascii="仿宋_GB2312" w:eastAsia="仿宋_GB2312" w:hint="eastAsia"/>
                <w:sz w:val="28"/>
                <w:szCs w:val="28"/>
              </w:rPr>
              <w:lastRenderedPageBreak/>
              <w:t>3.</w:t>
            </w:r>
            <w:r w:rsidRPr="008F24DE">
              <w:rPr>
                <w:rFonts w:ascii="仿宋_GB2312" w:eastAsia="仿宋_GB2312" w:hAnsi="宋体" w:hint="eastAsia"/>
                <w:b/>
                <w:bCs/>
                <w:sz w:val="28"/>
                <w:szCs w:val="28"/>
              </w:rPr>
              <w:t xml:space="preserve"> </w:t>
            </w:r>
            <w:r w:rsidRPr="008F24DE">
              <w:rPr>
                <w:rFonts w:ascii="仿宋_GB2312" w:eastAsia="仿宋_GB2312" w:hint="eastAsia"/>
                <w:b/>
                <w:bCs/>
                <w:sz w:val="28"/>
                <w:szCs w:val="28"/>
              </w:rPr>
              <w:t>受托人所收取的信托管理费由年费率0.4%降为0.3%。</w:t>
            </w:r>
            <w:r w:rsidRPr="008F24DE">
              <w:rPr>
                <w:rFonts w:ascii="仿宋_GB2312" w:eastAsia="仿宋_GB2312"/>
                <w:bCs/>
                <w:sz w:val="28"/>
                <w:szCs w:val="28"/>
              </w:rPr>
              <w:t>计算方法：以上一自然日的信托财产净值为基础，按照0.</w:t>
            </w:r>
            <w:r w:rsidRPr="008F24DE">
              <w:rPr>
                <w:rFonts w:ascii="仿宋_GB2312" w:eastAsia="仿宋_GB2312" w:hint="eastAsia"/>
                <w:bCs/>
                <w:sz w:val="28"/>
                <w:szCs w:val="28"/>
              </w:rPr>
              <w:t>3</w:t>
            </w:r>
            <w:r w:rsidRPr="008F24DE">
              <w:rPr>
                <w:rFonts w:ascii="仿宋_GB2312" w:eastAsia="仿宋_GB2312"/>
                <w:bCs/>
                <w:sz w:val="28"/>
                <w:szCs w:val="28"/>
              </w:rPr>
              <w:t>%的年费率，逐日计提，按季支付。</w:t>
            </w:r>
          </w:p>
          <w:p w:rsidR="008F24DE" w:rsidRPr="008F24DE" w:rsidRDefault="008F24DE" w:rsidP="00194D3C">
            <w:pPr>
              <w:spacing w:line="500" w:lineRule="exact"/>
              <w:rPr>
                <w:rFonts w:ascii="仿宋_GB2312" w:eastAsia="仿宋_GB2312"/>
                <w:bCs/>
                <w:sz w:val="28"/>
                <w:szCs w:val="28"/>
              </w:rPr>
            </w:pPr>
            <w:r w:rsidRPr="008F24DE">
              <w:rPr>
                <w:rFonts w:ascii="仿宋_GB2312" w:eastAsia="仿宋_GB2312"/>
                <w:bCs/>
                <w:sz w:val="28"/>
                <w:szCs w:val="28"/>
              </w:rPr>
              <w:t>H＝E</w:t>
            </w:r>
            <w:r w:rsidRPr="008F24DE">
              <w:rPr>
                <w:rFonts w:ascii="仿宋_GB2312" w:eastAsia="仿宋_GB2312"/>
                <w:bCs/>
                <w:sz w:val="28"/>
                <w:szCs w:val="28"/>
              </w:rPr>
              <w:t>×</w:t>
            </w:r>
            <w:r w:rsidRPr="008F24DE">
              <w:rPr>
                <w:rFonts w:ascii="仿宋_GB2312" w:eastAsia="仿宋_GB2312" w:hint="eastAsia"/>
                <w:bCs/>
                <w:sz w:val="28"/>
                <w:szCs w:val="28"/>
              </w:rPr>
              <w:t>0.3</w:t>
            </w:r>
            <w:r w:rsidRPr="008F24DE">
              <w:rPr>
                <w:rFonts w:ascii="仿宋_GB2312" w:eastAsia="仿宋_GB2312"/>
                <w:bCs/>
                <w:sz w:val="28"/>
                <w:szCs w:val="28"/>
              </w:rPr>
              <w:t>%</w:t>
            </w:r>
            <w:r w:rsidRPr="008F24DE">
              <w:rPr>
                <w:rFonts w:ascii="仿宋_GB2312" w:eastAsia="仿宋_GB2312"/>
                <w:bCs/>
                <w:sz w:val="28"/>
                <w:szCs w:val="28"/>
              </w:rPr>
              <w:t>÷</w:t>
            </w:r>
            <w:r w:rsidRPr="008F24DE">
              <w:rPr>
                <w:rFonts w:ascii="仿宋_GB2312" w:eastAsia="仿宋_GB2312" w:hint="eastAsia"/>
                <w:bCs/>
                <w:sz w:val="28"/>
                <w:szCs w:val="28"/>
              </w:rPr>
              <w:t>365</w:t>
            </w:r>
          </w:p>
          <w:p w:rsidR="00E91FDA" w:rsidRDefault="008F24DE" w:rsidP="00194D3C">
            <w:pPr>
              <w:spacing w:line="500" w:lineRule="exact"/>
              <w:rPr>
                <w:rFonts w:ascii="仿宋_GB2312" w:eastAsia="仿宋_GB2312" w:hint="eastAsia"/>
                <w:bCs/>
                <w:sz w:val="28"/>
                <w:szCs w:val="28"/>
              </w:rPr>
            </w:pPr>
            <w:r w:rsidRPr="008F24DE">
              <w:rPr>
                <w:rFonts w:ascii="仿宋_GB2312" w:eastAsia="仿宋_GB2312"/>
                <w:bCs/>
                <w:sz w:val="28"/>
                <w:szCs w:val="28"/>
              </w:rPr>
              <w:t>H为每个自然日应计提的受托人信托管理费。</w:t>
            </w:r>
          </w:p>
          <w:p w:rsidR="008F24DE" w:rsidRDefault="008F24DE" w:rsidP="00194D3C">
            <w:pPr>
              <w:spacing w:line="500" w:lineRule="exact"/>
              <w:rPr>
                <w:rFonts w:ascii="仿宋_GB2312" w:eastAsia="仿宋_GB2312" w:hint="eastAsia"/>
                <w:sz w:val="28"/>
                <w:szCs w:val="28"/>
              </w:rPr>
            </w:pPr>
            <w:r w:rsidRPr="008F24DE">
              <w:rPr>
                <w:rFonts w:ascii="仿宋_GB2312" w:eastAsia="仿宋_GB2312"/>
                <w:bCs/>
                <w:sz w:val="28"/>
                <w:szCs w:val="28"/>
              </w:rPr>
              <w:t>E为上一自然日的信托财产净值（首日计提时为信托计划成立日信托计划资金）。</w:t>
            </w:r>
          </w:p>
        </w:tc>
        <w:tc>
          <w:tcPr>
            <w:tcW w:w="992" w:type="dxa"/>
          </w:tcPr>
          <w:p w:rsidR="008F24DE" w:rsidRDefault="008F24DE" w:rsidP="00230BCE">
            <w:pPr>
              <w:rPr>
                <w:rFonts w:ascii="仿宋_GB2312" w:eastAsia="仿宋_GB2312"/>
                <w:sz w:val="28"/>
                <w:szCs w:val="28"/>
              </w:rPr>
            </w:pPr>
          </w:p>
        </w:tc>
        <w:tc>
          <w:tcPr>
            <w:tcW w:w="1106" w:type="dxa"/>
          </w:tcPr>
          <w:p w:rsidR="008F24DE" w:rsidRDefault="008F24DE" w:rsidP="00230BCE">
            <w:pPr>
              <w:rPr>
                <w:rFonts w:ascii="仿宋_GB2312" w:eastAsia="仿宋_GB2312"/>
                <w:sz w:val="28"/>
                <w:szCs w:val="28"/>
              </w:rPr>
            </w:pPr>
          </w:p>
        </w:tc>
        <w:tc>
          <w:tcPr>
            <w:tcW w:w="1021" w:type="dxa"/>
          </w:tcPr>
          <w:p w:rsidR="008F24DE" w:rsidRDefault="008F24DE" w:rsidP="00230BCE">
            <w:pPr>
              <w:rPr>
                <w:rFonts w:ascii="仿宋_GB2312" w:eastAsia="仿宋_GB2312"/>
                <w:sz w:val="28"/>
                <w:szCs w:val="28"/>
              </w:rPr>
            </w:pPr>
          </w:p>
        </w:tc>
      </w:tr>
      <w:tr w:rsidR="000532C7" w:rsidTr="00E91FDA">
        <w:tc>
          <w:tcPr>
            <w:tcW w:w="5920" w:type="dxa"/>
          </w:tcPr>
          <w:p w:rsidR="000532C7" w:rsidRDefault="000532C7" w:rsidP="00194D3C">
            <w:pPr>
              <w:spacing w:line="500" w:lineRule="exact"/>
              <w:rPr>
                <w:rFonts w:ascii="仿宋_GB2312" w:eastAsia="仿宋_GB2312" w:hint="eastAsia"/>
                <w:sz w:val="28"/>
                <w:szCs w:val="28"/>
              </w:rPr>
            </w:pPr>
            <w:r>
              <w:rPr>
                <w:rFonts w:ascii="仿宋_GB2312" w:eastAsia="仿宋_GB2312" w:hint="eastAsia"/>
                <w:sz w:val="28"/>
                <w:szCs w:val="28"/>
              </w:rPr>
              <w:t>4.</w:t>
            </w:r>
            <w:r w:rsidRPr="00E91FDA">
              <w:rPr>
                <w:rFonts w:ascii="仿宋_GB2312" w:eastAsia="仿宋_GB2312" w:hint="eastAsia"/>
                <w:sz w:val="28"/>
                <w:szCs w:val="28"/>
              </w:rPr>
              <w:t xml:space="preserve"> 本信托计划仅负责T+1日净值估值。</w:t>
            </w:r>
            <w:r w:rsidRPr="00E91FDA">
              <w:rPr>
                <w:rFonts w:ascii="仿宋_GB2312" w:eastAsia="仿宋_GB2312"/>
                <w:sz w:val="28"/>
                <w:szCs w:val="28"/>
              </w:rPr>
              <w:t>本信托计划存续期内的</w:t>
            </w:r>
            <w:r w:rsidRPr="00E91FDA">
              <w:rPr>
                <w:rFonts w:ascii="仿宋_GB2312" w:eastAsia="仿宋_GB2312"/>
                <w:b/>
                <w:sz w:val="28"/>
                <w:szCs w:val="28"/>
              </w:rPr>
              <w:t>每个交易日</w:t>
            </w:r>
            <w:r w:rsidRPr="00E91FDA">
              <w:rPr>
                <w:rFonts w:ascii="仿宋_GB2312" w:eastAsia="仿宋_GB2312" w:hint="eastAsia"/>
                <w:b/>
                <w:sz w:val="28"/>
                <w:szCs w:val="28"/>
              </w:rPr>
              <w:t>下一个工作日</w:t>
            </w:r>
            <w:r w:rsidRPr="00E91FDA">
              <w:rPr>
                <w:rFonts w:ascii="仿宋_GB2312" w:eastAsia="仿宋_GB2312"/>
                <w:sz w:val="28"/>
                <w:szCs w:val="28"/>
              </w:rPr>
              <w:t>对信托财产进行估值。</w:t>
            </w:r>
          </w:p>
        </w:tc>
        <w:tc>
          <w:tcPr>
            <w:tcW w:w="992" w:type="dxa"/>
          </w:tcPr>
          <w:p w:rsidR="000532C7" w:rsidRDefault="000532C7" w:rsidP="00230BCE">
            <w:pPr>
              <w:rPr>
                <w:rFonts w:ascii="仿宋_GB2312" w:eastAsia="仿宋_GB2312"/>
                <w:sz w:val="28"/>
                <w:szCs w:val="28"/>
              </w:rPr>
            </w:pPr>
          </w:p>
        </w:tc>
        <w:tc>
          <w:tcPr>
            <w:tcW w:w="1106" w:type="dxa"/>
          </w:tcPr>
          <w:p w:rsidR="000532C7" w:rsidRDefault="000532C7" w:rsidP="00230BCE">
            <w:pPr>
              <w:rPr>
                <w:rFonts w:ascii="仿宋_GB2312" w:eastAsia="仿宋_GB2312"/>
                <w:sz w:val="28"/>
                <w:szCs w:val="28"/>
              </w:rPr>
            </w:pPr>
          </w:p>
        </w:tc>
        <w:tc>
          <w:tcPr>
            <w:tcW w:w="1021" w:type="dxa"/>
          </w:tcPr>
          <w:p w:rsidR="000532C7" w:rsidRDefault="000532C7" w:rsidP="00230BCE">
            <w:pPr>
              <w:rPr>
                <w:rFonts w:ascii="仿宋_GB2312" w:eastAsia="仿宋_GB2312"/>
                <w:sz w:val="28"/>
                <w:szCs w:val="28"/>
              </w:rPr>
            </w:pPr>
          </w:p>
        </w:tc>
      </w:tr>
    </w:tbl>
    <w:p w:rsidR="00CA2710" w:rsidRDefault="00834484" w:rsidP="00230BCE">
      <w:pPr>
        <w:rPr>
          <w:rFonts w:ascii="仿宋_GB2312" w:eastAsia="仿宋_GB2312"/>
          <w:sz w:val="28"/>
          <w:szCs w:val="28"/>
        </w:rPr>
      </w:pPr>
      <w:r>
        <w:rPr>
          <w:rFonts w:ascii="仿宋_GB2312" w:eastAsia="仿宋_GB2312" w:hint="eastAsia"/>
          <w:sz w:val="28"/>
          <w:szCs w:val="28"/>
        </w:rPr>
        <w:t>（备注/说明：</w:t>
      </w:r>
      <w:r w:rsidR="00E91FDA" w:rsidRPr="00E91FDA">
        <w:rPr>
          <w:rFonts w:ascii="仿宋_GB2312" w:eastAsia="仿宋_GB2312" w:hint="eastAsia"/>
          <w:sz w:val="28"/>
          <w:szCs w:val="28"/>
        </w:rPr>
        <w:t>原《信托合同》中其他涉及产品投资范围、信托财产运用、投资顾问、受托人信托报酬、估值日期等条款与上述</w:t>
      </w:r>
      <w:r w:rsidR="00E91FDA">
        <w:rPr>
          <w:rFonts w:ascii="仿宋_GB2312" w:eastAsia="仿宋_GB2312" w:hint="eastAsia"/>
          <w:sz w:val="28"/>
          <w:szCs w:val="28"/>
        </w:rPr>
        <w:t>审议事项</w:t>
      </w:r>
      <w:r w:rsidR="00E91FDA" w:rsidRPr="00E91FDA">
        <w:rPr>
          <w:rFonts w:ascii="仿宋_GB2312" w:eastAsia="仿宋_GB2312" w:hint="eastAsia"/>
          <w:sz w:val="28"/>
          <w:szCs w:val="28"/>
        </w:rPr>
        <w:t>不一致的，作相应修改，原《信托合同》其他条款保持不变。</w:t>
      </w:r>
      <w:r>
        <w:rPr>
          <w:rFonts w:ascii="仿宋_GB2312" w:eastAsia="仿宋_GB2312" w:hint="eastAsia"/>
          <w:sz w:val="28"/>
          <w:szCs w:val="28"/>
        </w:rPr>
        <w:t>）</w:t>
      </w:r>
    </w:p>
    <w:p w:rsidR="00834484" w:rsidRDefault="00834484" w:rsidP="00834484">
      <w:pPr>
        <w:pStyle w:val="a7"/>
        <w:numPr>
          <w:ilvl w:val="0"/>
          <w:numId w:val="2"/>
        </w:numPr>
        <w:ind w:firstLineChars="0"/>
        <w:rPr>
          <w:rFonts w:ascii="仿宋_GB2312" w:eastAsia="仿宋_GB2312"/>
          <w:sz w:val="28"/>
          <w:szCs w:val="28"/>
        </w:rPr>
      </w:pPr>
      <w:r>
        <w:rPr>
          <w:rFonts w:ascii="仿宋_GB2312" w:eastAsia="仿宋_GB2312" w:hint="eastAsia"/>
          <w:sz w:val="28"/>
          <w:szCs w:val="28"/>
        </w:rPr>
        <w:t>提交附件</w:t>
      </w:r>
      <w:r w:rsidR="000B2DFE">
        <w:rPr>
          <w:rFonts w:ascii="仿宋_GB2312" w:eastAsia="仿宋_GB2312" w:hint="eastAsia"/>
          <w:sz w:val="28"/>
          <w:szCs w:val="28"/>
        </w:rPr>
        <w:t>（请在相应文件后标记“√”）</w:t>
      </w:r>
    </w:p>
    <w:p w:rsidR="00834484" w:rsidRDefault="00834484" w:rsidP="00834484">
      <w:pPr>
        <w:pStyle w:val="a7"/>
        <w:numPr>
          <w:ilvl w:val="0"/>
          <w:numId w:val="4"/>
        </w:numPr>
        <w:ind w:firstLineChars="0"/>
        <w:rPr>
          <w:rFonts w:ascii="仿宋_GB2312" w:eastAsia="仿宋_GB2312"/>
          <w:sz w:val="28"/>
          <w:szCs w:val="28"/>
        </w:rPr>
      </w:pPr>
      <w:r>
        <w:rPr>
          <w:rFonts w:ascii="仿宋_GB2312" w:eastAsia="仿宋_GB2312" w:hint="eastAsia"/>
          <w:sz w:val="28"/>
          <w:szCs w:val="28"/>
        </w:rPr>
        <w:t>受益人身份证件</w:t>
      </w:r>
      <w:r w:rsidR="00622D38">
        <w:rPr>
          <w:rFonts w:ascii="仿宋_GB2312" w:eastAsia="仿宋_GB2312" w:hint="eastAsia"/>
          <w:sz w:val="28"/>
          <w:szCs w:val="28"/>
        </w:rPr>
        <w:t>□</w:t>
      </w:r>
      <w:r>
        <w:rPr>
          <w:rFonts w:ascii="仿宋_GB2312" w:eastAsia="仿宋_GB2312" w:hint="eastAsia"/>
          <w:sz w:val="28"/>
          <w:szCs w:val="28"/>
        </w:rPr>
        <w:t>/证照复印件</w:t>
      </w:r>
      <w:r w:rsidR="00757601">
        <w:rPr>
          <w:rFonts w:ascii="仿宋_GB2312" w:eastAsia="仿宋_GB2312" w:hint="eastAsia"/>
          <w:sz w:val="28"/>
          <w:szCs w:val="28"/>
        </w:rPr>
        <w:t>□</w:t>
      </w:r>
    </w:p>
    <w:p w:rsidR="00622D38" w:rsidRDefault="00622D38" w:rsidP="00834484">
      <w:pPr>
        <w:pStyle w:val="a7"/>
        <w:numPr>
          <w:ilvl w:val="0"/>
          <w:numId w:val="4"/>
        </w:numPr>
        <w:ind w:firstLineChars="0"/>
        <w:rPr>
          <w:rFonts w:ascii="仿宋_GB2312" w:eastAsia="仿宋_GB2312"/>
          <w:sz w:val="28"/>
          <w:szCs w:val="28"/>
        </w:rPr>
      </w:pPr>
      <w:r>
        <w:rPr>
          <w:rFonts w:ascii="仿宋_GB2312" w:eastAsia="仿宋_GB2312" w:hint="eastAsia"/>
          <w:sz w:val="28"/>
          <w:szCs w:val="28"/>
        </w:rPr>
        <w:t>机构受益人法定代表人/负责人身份证件复印件□</w:t>
      </w:r>
    </w:p>
    <w:p w:rsidR="00834484" w:rsidRDefault="00834484" w:rsidP="00834484">
      <w:pPr>
        <w:pStyle w:val="a7"/>
        <w:numPr>
          <w:ilvl w:val="0"/>
          <w:numId w:val="4"/>
        </w:numPr>
        <w:ind w:firstLineChars="0"/>
        <w:rPr>
          <w:rFonts w:ascii="仿宋_GB2312" w:eastAsia="仿宋_GB2312"/>
          <w:sz w:val="28"/>
          <w:szCs w:val="28"/>
        </w:rPr>
      </w:pPr>
      <w:r>
        <w:rPr>
          <w:rFonts w:ascii="仿宋_GB2312" w:eastAsia="仿宋_GB2312" w:hint="eastAsia"/>
          <w:sz w:val="28"/>
          <w:szCs w:val="28"/>
        </w:rPr>
        <w:t>授权委托书原件</w:t>
      </w:r>
      <w:r w:rsidR="00757601">
        <w:rPr>
          <w:rFonts w:ascii="仿宋_GB2312" w:eastAsia="仿宋_GB2312" w:hint="eastAsia"/>
          <w:sz w:val="28"/>
          <w:szCs w:val="28"/>
        </w:rPr>
        <w:t>□</w:t>
      </w:r>
      <w:r>
        <w:rPr>
          <w:rFonts w:ascii="仿宋_GB2312" w:eastAsia="仿宋_GB2312" w:hint="eastAsia"/>
          <w:sz w:val="28"/>
          <w:szCs w:val="28"/>
        </w:rPr>
        <w:t>（或有）</w:t>
      </w:r>
    </w:p>
    <w:p w:rsidR="00834484" w:rsidRDefault="00834484" w:rsidP="00834484">
      <w:pPr>
        <w:pStyle w:val="a7"/>
        <w:numPr>
          <w:ilvl w:val="0"/>
          <w:numId w:val="4"/>
        </w:numPr>
        <w:ind w:firstLineChars="0"/>
        <w:rPr>
          <w:rFonts w:ascii="仿宋_GB2312" w:eastAsia="仿宋_GB2312"/>
          <w:sz w:val="28"/>
          <w:szCs w:val="28"/>
        </w:rPr>
      </w:pPr>
      <w:r>
        <w:rPr>
          <w:rFonts w:ascii="仿宋_GB2312" w:eastAsia="仿宋_GB2312" w:hint="eastAsia"/>
          <w:sz w:val="28"/>
          <w:szCs w:val="28"/>
        </w:rPr>
        <w:t>代理人身份证件复印件</w:t>
      </w:r>
      <w:r w:rsidR="00757601">
        <w:rPr>
          <w:rFonts w:ascii="仿宋_GB2312" w:eastAsia="仿宋_GB2312" w:hint="eastAsia"/>
          <w:sz w:val="28"/>
          <w:szCs w:val="28"/>
        </w:rPr>
        <w:t>□</w:t>
      </w:r>
      <w:r>
        <w:rPr>
          <w:rFonts w:ascii="仿宋_GB2312" w:eastAsia="仿宋_GB2312" w:hint="eastAsia"/>
          <w:sz w:val="28"/>
          <w:szCs w:val="28"/>
        </w:rPr>
        <w:t>（或有）</w:t>
      </w:r>
    </w:p>
    <w:p w:rsidR="007F3396" w:rsidRPr="00E91FDA" w:rsidRDefault="00A176CE" w:rsidP="007F3396">
      <w:pPr>
        <w:pStyle w:val="a7"/>
        <w:numPr>
          <w:ilvl w:val="0"/>
          <w:numId w:val="4"/>
        </w:numPr>
        <w:ind w:firstLineChars="0"/>
        <w:rPr>
          <w:rFonts w:ascii="仿宋_GB2312" w:eastAsia="仿宋_GB2312"/>
          <w:sz w:val="28"/>
          <w:szCs w:val="28"/>
        </w:rPr>
      </w:pPr>
      <w:r w:rsidRPr="00E91FDA">
        <w:rPr>
          <w:rFonts w:ascii="仿宋_GB2312" w:eastAsia="仿宋_GB2312" w:hint="eastAsia"/>
          <w:sz w:val="28"/>
          <w:szCs w:val="28"/>
        </w:rPr>
        <w:t>其他（请列明）</w:t>
      </w:r>
      <w:r w:rsidR="0067375B" w:rsidRPr="00E91FDA">
        <w:rPr>
          <w:rFonts w:ascii="仿宋_GB2312" w:eastAsia="仿宋_GB2312" w:hint="eastAsia"/>
          <w:sz w:val="28"/>
          <w:szCs w:val="28"/>
        </w:rPr>
        <w:t>□：________</w:t>
      </w:r>
    </w:p>
    <w:p w:rsidR="00194D3C" w:rsidRDefault="00194D3C" w:rsidP="00E91FDA">
      <w:pPr>
        <w:ind w:left="4200"/>
        <w:rPr>
          <w:rFonts w:ascii="仿宋_GB2312" w:eastAsia="仿宋_GB2312" w:hint="eastAsia"/>
          <w:sz w:val="28"/>
          <w:szCs w:val="28"/>
        </w:rPr>
      </w:pPr>
    </w:p>
    <w:p w:rsidR="0014459A" w:rsidRDefault="007F3396" w:rsidP="00E91FDA">
      <w:pPr>
        <w:ind w:left="4200"/>
        <w:rPr>
          <w:rFonts w:ascii="仿宋_GB2312" w:eastAsia="仿宋_GB2312" w:hint="eastAsia"/>
          <w:sz w:val="28"/>
          <w:szCs w:val="28"/>
        </w:rPr>
      </w:pPr>
      <w:r>
        <w:rPr>
          <w:rFonts w:ascii="仿宋_GB2312" w:eastAsia="仿宋_GB2312" w:hint="eastAsia"/>
          <w:sz w:val="28"/>
          <w:szCs w:val="28"/>
        </w:rPr>
        <w:t>受益人/代理人签章：</w:t>
      </w:r>
      <w:bookmarkStart w:id="0" w:name="_GoBack"/>
      <w:bookmarkEnd w:id="0"/>
    </w:p>
    <w:p w:rsidR="00194D3C" w:rsidRDefault="00194D3C" w:rsidP="00E91FDA">
      <w:pPr>
        <w:ind w:left="4200"/>
        <w:rPr>
          <w:rFonts w:ascii="仿宋_GB2312" w:eastAsia="仿宋_GB2312"/>
          <w:sz w:val="28"/>
          <w:szCs w:val="28"/>
        </w:rPr>
      </w:pPr>
    </w:p>
    <w:p w:rsidR="007F3396" w:rsidRPr="007F3396" w:rsidRDefault="007F3396" w:rsidP="005C4B95">
      <w:pPr>
        <w:ind w:left="4200"/>
        <w:rPr>
          <w:rFonts w:ascii="仿宋_GB2312" w:eastAsia="仿宋_GB2312"/>
          <w:sz w:val="28"/>
          <w:szCs w:val="28"/>
        </w:rPr>
      </w:pPr>
      <w:r>
        <w:rPr>
          <w:rFonts w:ascii="仿宋_GB2312" w:eastAsia="仿宋_GB2312" w:hint="eastAsia"/>
          <w:sz w:val="28"/>
          <w:szCs w:val="28"/>
        </w:rPr>
        <w:t>日期：</w:t>
      </w:r>
    </w:p>
    <w:sectPr w:rsidR="007F3396" w:rsidRPr="007F3396" w:rsidSect="00E91FDA">
      <w:headerReference w:type="default" r:id="rId9"/>
      <w:footerReference w:type="default" r:id="rId10"/>
      <w:pgSz w:w="11906" w:h="16838"/>
      <w:pgMar w:top="1276" w:right="1797" w:bottom="851" w:left="1797" w:header="284" w:footer="19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72D" w:rsidRDefault="0009672D">
      <w:r>
        <w:separator/>
      </w:r>
    </w:p>
  </w:endnote>
  <w:endnote w:type="continuationSeparator" w:id="0">
    <w:p w:rsidR="0009672D" w:rsidRDefault="0009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96" w:rsidRDefault="000F041E" w:rsidP="00332290">
    <w:pPr>
      <w:pStyle w:val="a5"/>
      <w:tabs>
        <w:tab w:val="clear" w:pos="8306"/>
      </w:tabs>
      <w:ind w:leftChars="-857" w:left="-1800" w:rightChars="-844" w:right="-1772"/>
      <w:jc w:val="center"/>
    </w:pPr>
    <w:r>
      <w:rPr>
        <w:rFonts w:hint="eastAsia"/>
        <w:noProof/>
      </w:rPr>
      <w:drawing>
        <wp:inline distT="0" distB="0" distL="0" distR="0" wp14:anchorId="51AF2E15" wp14:editId="4887B4F1">
          <wp:extent cx="6400800" cy="609600"/>
          <wp:effectExtent l="19050" t="0" r="0" b="0"/>
          <wp:docPr id="2" name="图片 2" descr="5空白文档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空白文档d"/>
                  <pic:cNvPicPr>
                    <a:picLocks noChangeAspect="1" noChangeArrowheads="1"/>
                  </pic:cNvPicPr>
                </pic:nvPicPr>
                <pic:blipFill>
                  <a:blip r:embed="rId1"/>
                  <a:srcRect/>
                  <a:stretch>
                    <a:fillRect/>
                  </a:stretch>
                </pic:blipFill>
                <pic:spPr bwMode="auto">
                  <a:xfrm>
                    <a:off x="0" y="0"/>
                    <a:ext cx="6400800" cy="609600"/>
                  </a:xfrm>
                  <a:prstGeom prst="rect">
                    <a:avLst/>
                  </a:prstGeom>
                  <a:noFill/>
                  <a:ln w="9525">
                    <a:noFill/>
                    <a:miter lim="800000"/>
                    <a:headEnd/>
                    <a:tailEnd/>
                  </a:ln>
                </pic:spPr>
              </pic:pic>
            </a:graphicData>
          </a:graphic>
        </wp:inline>
      </w:drawing>
    </w:r>
  </w:p>
  <w:p w:rsidR="0003058B" w:rsidRDefault="001B237B" w:rsidP="0042795E">
    <w:pPr>
      <w:pStyle w:val="a5"/>
      <w:tabs>
        <w:tab w:val="clear" w:pos="8306"/>
      </w:tabs>
      <w:spacing w:beforeLines="50" w:before="120"/>
      <w:ind w:leftChars="-857" w:left="-1800" w:rightChars="-844" w:right="-1772"/>
      <w:jc w:val="center"/>
    </w:pPr>
    <w:r w:rsidRPr="00EA5869">
      <w:rPr>
        <w:rFonts w:ascii="Arial" w:hAnsi="Arial" w:cs="Arial"/>
        <w:b/>
        <w:sz w:val="24"/>
        <w:szCs w:val="24"/>
      </w:rPr>
      <w:fldChar w:fldCharType="begin"/>
    </w:r>
    <w:r w:rsidR="0003058B" w:rsidRPr="00EA5869">
      <w:rPr>
        <w:rFonts w:ascii="Arial" w:hAnsi="Arial" w:cs="Arial"/>
        <w:b/>
      </w:rPr>
      <w:instrText>PAGE</w:instrText>
    </w:r>
    <w:r w:rsidRPr="00EA5869">
      <w:rPr>
        <w:rFonts w:ascii="Arial" w:hAnsi="Arial" w:cs="Arial"/>
        <w:b/>
        <w:sz w:val="24"/>
        <w:szCs w:val="24"/>
      </w:rPr>
      <w:fldChar w:fldCharType="separate"/>
    </w:r>
    <w:r w:rsidR="00194D3C">
      <w:rPr>
        <w:rFonts w:ascii="Arial" w:hAnsi="Arial" w:cs="Arial"/>
        <w:b/>
        <w:noProof/>
      </w:rPr>
      <w:t>2</w:t>
    </w:r>
    <w:r w:rsidRPr="00EA5869">
      <w:rPr>
        <w:rFonts w:ascii="Arial" w:hAnsi="Arial" w:cs="Arial"/>
        <w:b/>
        <w:sz w:val="24"/>
        <w:szCs w:val="24"/>
      </w:rPr>
      <w:fldChar w:fldCharType="end"/>
    </w:r>
    <w:r w:rsidR="0003058B" w:rsidRPr="00EA5869">
      <w:rPr>
        <w:rFonts w:ascii="Arial" w:hAnsi="Arial" w:cs="Arial"/>
        <w:lang w:val="zh-CN"/>
      </w:rPr>
      <w:t xml:space="preserve"> / </w:t>
    </w:r>
    <w:r w:rsidRPr="00EA5869">
      <w:rPr>
        <w:rFonts w:ascii="Arial" w:hAnsi="Arial" w:cs="Arial"/>
        <w:b/>
        <w:sz w:val="24"/>
        <w:szCs w:val="24"/>
      </w:rPr>
      <w:fldChar w:fldCharType="begin"/>
    </w:r>
    <w:r w:rsidR="0003058B" w:rsidRPr="00EA5869">
      <w:rPr>
        <w:rFonts w:ascii="Arial" w:hAnsi="Arial" w:cs="Arial"/>
        <w:b/>
      </w:rPr>
      <w:instrText>NUMPAGES</w:instrText>
    </w:r>
    <w:r w:rsidRPr="00EA5869">
      <w:rPr>
        <w:rFonts w:ascii="Arial" w:hAnsi="Arial" w:cs="Arial"/>
        <w:b/>
        <w:sz w:val="24"/>
        <w:szCs w:val="24"/>
      </w:rPr>
      <w:fldChar w:fldCharType="separate"/>
    </w:r>
    <w:r w:rsidR="00194D3C">
      <w:rPr>
        <w:rFonts w:ascii="Arial" w:hAnsi="Arial" w:cs="Arial"/>
        <w:b/>
        <w:noProof/>
      </w:rPr>
      <w:t>2</w:t>
    </w:r>
    <w:r w:rsidRPr="00EA5869">
      <w:rPr>
        <w:rFonts w:ascii="Arial" w:hAnsi="Arial" w:cs="Arial"/>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72D" w:rsidRDefault="0009672D">
      <w:r>
        <w:separator/>
      </w:r>
    </w:p>
  </w:footnote>
  <w:footnote w:type="continuationSeparator" w:id="0">
    <w:p w:rsidR="0009672D" w:rsidRDefault="00096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00" w:rsidRPr="005D6424" w:rsidRDefault="0009672D" w:rsidP="00972B10">
    <w:pPr>
      <w:pStyle w:val="a4"/>
      <w:tabs>
        <w:tab w:val="clear" w:pos="8306"/>
        <w:tab w:val="right" w:pos="8222"/>
      </w:tabs>
      <w:ind w:leftChars="-855" w:left="-1795" w:rightChars="-834" w:right="-1751"/>
    </w:pPr>
    <w:r>
      <w:rPr>
        <w:noProof/>
      </w:rPr>
      <w:pict>
        <v:rect id="_x0000_s2055" style="position:absolute;left:0;text-align:left;margin-left:-99pt;margin-top:53.6pt;width:9in;height:15.6pt;z-index:251657728" stroked="f"/>
      </w:pict>
    </w:r>
    <w:r w:rsidR="000F041E">
      <w:rPr>
        <w:noProof/>
      </w:rPr>
      <w:drawing>
        <wp:inline distT="0" distB="0" distL="0" distR="0" wp14:anchorId="42E2D668" wp14:editId="1348248F">
          <wp:extent cx="6400800" cy="666750"/>
          <wp:effectExtent l="19050" t="0" r="0" b="0"/>
          <wp:docPr id="1" name="图片 1" descr="5空白文档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空白文档t"/>
                  <pic:cNvPicPr>
                    <a:picLocks noChangeAspect="1" noChangeArrowheads="1"/>
                  </pic:cNvPicPr>
                </pic:nvPicPr>
                <pic:blipFill>
                  <a:blip r:embed="rId1"/>
                  <a:srcRect/>
                  <a:stretch>
                    <a:fillRect/>
                  </a:stretch>
                </pic:blipFill>
                <pic:spPr bwMode="auto">
                  <a:xfrm>
                    <a:off x="0" y="0"/>
                    <a:ext cx="6400800" cy="666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5B6F"/>
    <w:multiLevelType w:val="hybridMultilevel"/>
    <w:tmpl w:val="940E5F7E"/>
    <w:lvl w:ilvl="0" w:tplc="352EB2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58B2980"/>
    <w:multiLevelType w:val="hybridMultilevel"/>
    <w:tmpl w:val="2AEE744C"/>
    <w:lvl w:ilvl="0" w:tplc="E46216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8069B5"/>
    <w:multiLevelType w:val="hybridMultilevel"/>
    <w:tmpl w:val="3736A0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D8D0F33"/>
    <w:multiLevelType w:val="hybridMultilevel"/>
    <w:tmpl w:val="940E5F7E"/>
    <w:lvl w:ilvl="0" w:tplc="352EB2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3879"/>
    <w:rsid w:val="000227EE"/>
    <w:rsid w:val="0003058B"/>
    <w:rsid w:val="00033AD8"/>
    <w:rsid w:val="00036C48"/>
    <w:rsid w:val="00045767"/>
    <w:rsid w:val="00046500"/>
    <w:rsid w:val="0004695B"/>
    <w:rsid w:val="000532C7"/>
    <w:rsid w:val="000544CE"/>
    <w:rsid w:val="00054DAF"/>
    <w:rsid w:val="00056908"/>
    <w:rsid w:val="00057381"/>
    <w:rsid w:val="00061D9E"/>
    <w:rsid w:val="00086D18"/>
    <w:rsid w:val="000877A5"/>
    <w:rsid w:val="00095790"/>
    <w:rsid w:val="00095DF0"/>
    <w:rsid w:val="0009672D"/>
    <w:rsid w:val="000A4211"/>
    <w:rsid w:val="000A544B"/>
    <w:rsid w:val="000A69DC"/>
    <w:rsid w:val="000B2DFE"/>
    <w:rsid w:val="000D345D"/>
    <w:rsid w:val="000D6F2D"/>
    <w:rsid w:val="000E5989"/>
    <w:rsid w:val="000F041E"/>
    <w:rsid w:val="0010593A"/>
    <w:rsid w:val="001243FF"/>
    <w:rsid w:val="0014459A"/>
    <w:rsid w:val="0015488D"/>
    <w:rsid w:val="001600AC"/>
    <w:rsid w:val="00167B4B"/>
    <w:rsid w:val="0019129A"/>
    <w:rsid w:val="00194D3C"/>
    <w:rsid w:val="001B0E65"/>
    <w:rsid w:val="001B237B"/>
    <w:rsid w:val="001B2CDD"/>
    <w:rsid w:val="001B4518"/>
    <w:rsid w:val="001B71B9"/>
    <w:rsid w:val="001D2C41"/>
    <w:rsid w:val="001D2ECB"/>
    <w:rsid w:val="001F3B72"/>
    <w:rsid w:val="001F771D"/>
    <w:rsid w:val="00204C07"/>
    <w:rsid w:val="002062E4"/>
    <w:rsid w:val="0022195F"/>
    <w:rsid w:val="00230BCE"/>
    <w:rsid w:val="00235334"/>
    <w:rsid w:val="002415A4"/>
    <w:rsid w:val="00244622"/>
    <w:rsid w:val="00252EA3"/>
    <w:rsid w:val="002630A6"/>
    <w:rsid w:val="00265C3C"/>
    <w:rsid w:val="00291A93"/>
    <w:rsid w:val="002A6E3D"/>
    <w:rsid w:val="002C4A7A"/>
    <w:rsid w:val="003055E4"/>
    <w:rsid w:val="003309A4"/>
    <w:rsid w:val="00332290"/>
    <w:rsid w:val="00337E79"/>
    <w:rsid w:val="00340ECC"/>
    <w:rsid w:val="00354036"/>
    <w:rsid w:val="003618AF"/>
    <w:rsid w:val="00364EC3"/>
    <w:rsid w:val="0038464F"/>
    <w:rsid w:val="00390479"/>
    <w:rsid w:val="003B1A23"/>
    <w:rsid w:val="003B61D1"/>
    <w:rsid w:val="003B77C7"/>
    <w:rsid w:val="003E040C"/>
    <w:rsid w:val="003E7E86"/>
    <w:rsid w:val="003F4B50"/>
    <w:rsid w:val="00402500"/>
    <w:rsid w:val="00406AEF"/>
    <w:rsid w:val="00407693"/>
    <w:rsid w:val="00410EF1"/>
    <w:rsid w:val="00424548"/>
    <w:rsid w:val="0042795E"/>
    <w:rsid w:val="00427A24"/>
    <w:rsid w:val="00431FDE"/>
    <w:rsid w:val="004344CC"/>
    <w:rsid w:val="004461A8"/>
    <w:rsid w:val="004624C8"/>
    <w:rsid w:val="00462616"/>
    <w:rsid w:val="004631D4"/>
    <w:rsid w:val="004761D6"/>
    <w:rsid w:val="004901CD"/>
    <w:rsid w:val="004A5D60"/>
    <w:rsid w:val="004B1A4F"/>
    <w:rsid w:val="004C51E4"/>
    <w:rsid w:val="0050144D"/>
    <w:rsid w:val="005804FB"/>
    <w:rsid w:val="00585980"/>
    <w:rsid w:val="0058681A"/>
    <w:rsid w:val="0059032A"/>
    <w:rsid w:val="00590E54"/>
    <w:rsid w:val="00594B5C"/>
    <w:rsid w:val="005A2CA4"/>
    <w:rsid w:val="005C31A2"/>
    <w:rsid w:val="005C4810"/>
    <w:rsid w:val="005C4B95"/>
    <w:rsid w:val="005D19FA"/>
    <w:rsid w:val="005D338C"/>
    <w:rsid w:val="005D6156"/>
    <w:rsid w:val="005D6424"/>
    <w:rsid w:val="006007EC"/>
    <w:rsid w:val="00622D38"/>
    <w:rsid w:val="0064288C"/>
    <w:rsid w:val="00643879"/>
    <w:rsid w:val="00652DCD"/>
    <w:rsid w:val="00670A93"/>
    <w:rsid w:val="0067375B"/>
    <w:rsid w:val="0069073A"/>
    <w:rsid w:val="006A3DCF"/>
    <w:rsid w:val="006A45BC"/>
    <w:rsid w:val="006B3DE0"/>
    <w:rsid w:val="006B75FB"/>
    <w:rsid w:val="006C6FF3"/>
    <w:rsid w:val="006F2467"/>
    <w:rsid w:val="007009CE"/>
    <w:rsid w:val="007050DF"/>
    <w:rsid w:val="00722F48"/>
    <w:rsid w:val="00723066"/>
    <w:rsid w:val="00737BE6"/>
    <w:rsid w:val="00744F59"/>
    <w:rsid w:val="00747BDF"/>
    <w:rsid w:val="00757601"/>
    <w:rsid w:val="00763F90"/>
    <w:rsid w:val="00765A2C"/>
    <w:rsid w:val="007A0276"/>
    <w:rsid w:val="007A4E35"/>
    <w:rsid w:val="007E7139"/>
    <w:rsid w:val="007F3396"/>
    <w:rsid w:val="008078F5"/>
    <w:rsid w:val="00827D9A"/>
    <w:rsid w:val="00834484"/>
    <w:rsid w:val="008430B7"/>
    <w:rsid w:val="00853956"/>
    <w:rsid w:val="00861C3F"/>
    <w:rsid w:val="00874A24"/>
    <w:rsid w:val="00885C56"/>
    <w:rsid w:val="008A30E6"/>
    <w:rsid w:val="008C0884"/>
    <w:rsid w:val="008C3F52"/>
    <w:rsid w:val="008D33AC"/>
    <w:rsid w:val="008D3BEB"/>
    <w:rsid w:val="008E4793"/>
    <w:rsid w:val="008F24DE"/>
    <w:rsid w:val="009003D9"/>
    <w:rsid w:val="00901B22"/>
    <w:rsid w:val="009048C2"/>
    <w:rsid w:val="00904D1B"/>
    <w:rsid w:val="009059B8"/>
    <w:rsid w:val="00920886"/>
    <w:rsid w:val="009235BB"/>
    <w:rsid w:val="0092742A"/>
    <w:rsid w:val="0095291D"/>
    <w:rsid w:val="009621A4"/>
    <w:rsid w:val="00972B10"/>
    <w:rsid w:val="0097629C"/>
    <w:rsid w:val="009817E6"/>
    <w:rsid w:val="009832DA"/>
    <w:rsid w:val="00985FE3"/>
    <w:rsid w:val="00990C8D"/>
    <w:rsid w:val="00997276"/>
    <w:rsid w:val="009A5C6A"/>
    <w:rsid w:val="009B608D"/>
    <w:rsid w:val="009D0F3D"/>
    <w:rsid w:val="009D13BB"/>
    <w:rsid w:val="009E3DB0"/>
    <w:rsid w:val="009E7537"/>
    <w:rsid w:val="009E7B5A"/>
    <w:rsid w:val="009F3991"/>
    <w:rsid w:val="009F5C11"/>
    <w:rsid w:val="00A0797E"/>
    <w:rsid w:val="00A128EC"/>
    <w:rsid w:val="00A16522"/>
    <w:rsid w:val="00A176CE"/>
    <w:rsid w:val="00A209B5"/>
    <w:rsid w:val="00A22FD3"/>
    <w:rsid w:val="00A23927"/>
    <w:rsid w:val="00A428AB"/>
    <w:rsid w:val="00A641B4"/>
    <w:rsid w:val="00A75C02"/>
    <w:rsid w:val="00A77ABD"/>
    <w:rsid w:val="00A97EA5"/>
    <w:rsid w:val="00AA7F2D"/>
    <w:rsid w:val="00AB4DE5"/>
    <w:rsid w:val="00AC068B"/>
    <w:rsid w:val="00AC18BA"/>
    <w:rsid w:val="00AF55B0"/>
    <w:rsid w:val="00B10649"/>
    <w:rsid w:val="00B52554"/>
    <w:rsid w:val="00B63CF4"/>
    <w:rsid w:val="00B677AD"/>
    <w:rsid w:val="00B767C2"/>
    <w:rsid w:val="00B8415C"/>
    <w:rsid w:val="00B85482"/>
    <w:rsid w:val="00B8665C"/>
    <w:rsid w:val="00BA22E6"/>
    <w:rsid w:val="00BA2D6A"/>
    <w:rsid w:val="00BB2DD1"/>
    <w:rsid w:val="00BC2F5C"/>
    <w:rsid w:val="00BC4DBF"/>
    <w:rsid w:val="00BD0DA1"/>
    <w:rsid w:val="00BF245C"/>
    <w:rsid w:val="00BF604E"/>
    <w:rsid w:val="00C061E6"/>
    <w:rsid w:val="00C10C39"/>
    <w:rsid w:val="00C1609B"/>
    <w:rsid w:val="00C203D1"/>
    <w:rsid w:val="00C23F59"/>
    <w:rsid w:val="00C265FE"/>
    <w:rsid w:val="00C30D8D"/>
    <w:rsid w:val="00C33299"/>
    <w:rsid w:val="00C437C7"/>
    <w:rsid w:val="00C66081"/>
    <w:rsid w:val="00C71F4C"/>
    <w:rsid w:val="00C7750C"/>
    <w:rsid w:val="00CA0437"/>
    <w:rsid w:val="00CA2710"/>
    <w:rsid w:val="00CA5DE5"/>
    <w:rsid w:val="00CC0480"/>
    <w:rsid w:val="00CC1E98"/>
    <w:rsid w:val="00CC224D"/>
    <w:rsid w:val="00CD7C18"/>
    <w:rsid w:val="00CE7E96"/>
    <w:rsid w:val="00CF4BAB"/>
    <w:rsid w:val="00D264EE"/>
    <w:rsid w:val="00D35BDB"/>
    <w:rsid w:val="00D429A7"/>
    <w:rsid w:val="00D53608"/>
    <w:rsid w:val="00D5488B"/>
    <w:rsid w:val="00D564A1"/>
    <w:rsid w:val="00D6729D"/>
    <w:rsid w:val="00D72F6F"/>
    <w:rsid w:val="00D776EF"/>
    <w:rsid w:val="00D83724"/>
    <w:rsid w:val="00DA5B99"/>
    <w:rsid w:val="00DB40D3"/>
    <w:rsid w:val="00E05DBF"/>
    <w:rsid w:val="00E11A8D"/>
    <w:rsid w:val="00E31800"/>
    <w:rsid w:val="00E37A54"/>
    <w:rsid w:val="00E466EA"/>
    <w:rsid w:val="00E6106C"/>
    <w:rsid w:val="00E616DA"/>
    <w:rsid w:val="00E70577"/>
    <w:rsid w:val="00E9057A"/>
    <w:rsid w:val="00E91FDA"/>
    <w:rsid w:val="00EA275D"/>
    <w:rsid w:val="00EB11E1"/>
    <w:rsid w:val="00EC620D"/>
    <w:rsid w:val="00EF2D49"/>
    <w:rsid w:val="00F060F8"/>
    <w:rsid w:val="00F06102"/>
    <w:rsid w:val="00F10E3A"/>
    <w:rsid w:val="00F242B6"/>
    <w:rsid w:val="00F27BC3"/>
    <w:rsid w:val="00F302B4"/>
    <w:rsid w:val="00F3444A"/>
    <w:rsid w:val="00F35D3D"/>
    <w:rsid w:val="00F46CE4"/>
    <w:rsid w:val="00F578B9"/>
    <w:rsid w:val="00F64F29"/>
    <w:rsid w:val="00F71F9E"/>
    <w:rsid w:val="00F72DCE"/>
    <w:rsid w:val="00F82D52"/>
    <w:rsid w:val="00F84F2B"/>
    <w:rsid w:val="00FA35BD"/>
    <w:rsid w:val="00FC7986"/>
    <w:rsid w:val="00FD02F2"/>
    <w:rsid w:val="00FD2560"/>
    <w:rsid w:val="00FE3DE3"/>
    <w:rsid w:val="00FF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0E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144D"/>
    <w:rPr>
      <w:sz w:val="18"/>
      <w:szCs w:val="18"/>
    </w:rPr>
  </w:style>
  <w:style w:type="paragraph" w:styleId="a4">
    <w:name w:val="header"/>
    <w:basedOn w:val="a"/>
    <w:rsid w:val="0050144D"/>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50144D"/>
    <w:pPr>
      <w:tabs>
        <w:tab w:val="center" w:pos="4153"/>
        <w:tab w:val="right" w:pos="8306"/>
      </w:tabs>
      <w:snapToGrid w:val="0"/>
      <w:jc w:val="left"/>
    </w:pPr>
    <w:rPr>
      <w:sz w:val="18"/>
      <w:szCs w:val="18"/>
    </w:rPr>
  </w:style>
  <w:style w:type="table" w:styleId="a6">
    <w:name w:val="Table Grid"/>
    <w:basedOn w:val="a1"/>
    <w:rsid w:val="000D6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脚 Char"/>
    <w:basedOn w:val="a0"/>
    <w:link w:val="a5"/>
    <w:rsid w:val="0003058B"/>
    <w:rPr>
      <w:kern w:val="2"/>
      <w:sz w:val="18"/>
      <w:szCs w:val="18"/>
    </w:rPr>
  </w:style>
  <w:style w:type="paragraph" w:styleId="a7">
    <w:name w:val="List Paragraph"/>
    <w:basedOn w:val="a"/>
    <w:uiPriority w:val="34"/>
    <w:qFormat/>
    <w:rsid w:val="00230B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91944">
      <w:bodyDiv w:val="1"/>
      <w:marLeft w:val="0"/>
      <w:marRight w:val="0"/>
      <w:marTop w:val="0"/>
      <w:marBottom w:val="0"/>
      <w:divBdr>
        <w:top w:val="none" w:sz="0" w:space="0" w:color="auto"/>
        <w:left w:val="none" w:sz="0" w:space="0" w:color="auto"/>
        <w:bottom w:val="none" w:sz="0" w:space="0" w:color="auto"/>
        <w:right w:val="none" w:sz="0" w:space="0" w:color="auto"/>
      </w:divBdr>
    </w:div>
    <w:div w:id="14447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1110\Local%20Settings\Temporary%20Internet%20Files\Content.IE5\UDQBM6T4\&#31354;&#30333;&#35268;&#33539;&#25991;&#26412;%5b1%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A3EF-5C7C-4760-825A-AA81E2B6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空白规范文本[1]</Template>
  <TotalTime>65</TotalTime>
  <Pages>2</Pages>
  <Words>112</Words>
  <Characters>645</Characters>
  <Application>Microsoft Office Word</Application>
  <DocSecurity>0</DocSecurity>
  <Lines>5</Lines>
  <Paragraphs>1</Paragraphs>
  <ScaleCrop>false</ScaleCrop>
  <Company>user</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Rossella</dc:creator>
  <cp:keywords/>
  <cp:lastModifiedBy>James</cp:lastModifiedBy>
  <cp:revision>33</cp:revision>
  <cp:lastPrinted>2011-04-28T03:19:00Z</cp:lastPrinted>
  <dcterms:created xsi:type="dcterms:W3CDTF">2011-08-29T01:16:00Z</dcterms:created>
  <dcterms:modified xsi:type="dcterms:W3CDTF">2015-10-26T08:54:00Z</dcterms:modified>
</cp:coreProperties>
</file>