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36" w:rsidRDefault="00EE6136">
      <w:pPr>
        <w:rPr>
          <w:rFonts w:asciiTheme="minorEastAsia" w:hAnsiTheme="minorEastAsia"/>
          <w:b/>
          <w:szCs w:val="21"/>
        </w:rPr>
      </w:pPr>
      <w:bookmarkStart w:id="0" w:name="_GoBack"/>
      <w:bookmarkEnd w:id="0"/>
    </w:p>
    <w:p w:rsidR="00EE6136" w:rsidRDefault="008A70A2">
      <w:pPr>
        <w:jc w:val="center"/>
        <w:rPr>
          <w:rFonts w:asciiTheme="minorEastAsia" w:hAnsiTheme="minorEastAsia"/>
          <w:b/>
          <w:sz w:val="32"/>
          <w:szCs w:val="32"/>
        </w:rPr>
      </w:pPr>
      <w:proofErr w:type="gramStart"/>
      <w:r>
        <w:rPr>
          <w:rFonts w:asciiTheme="minorEastAsia" w:hAnsiTheme="minorEastAsia" w:hint="eastAsia"/>
          <w:b/>
          <w:sz w:val="32"/>
          <w:szCs w:val="32"/>
        </w:rPr>
        <w:t>中融-融临</w:t>
      </w:r>
      <w:proofErr w:type="gramEnd"/>
      <w:r>
        <w:rPr>
          <w:rFonts w:asciiTheme="minorEastAsia" w:hAnsiTheme="minorEastAsia" w:hint="eastAsia"/>
          <w:b/>
          <w:sz w:val="32"/>
          <w:szCs w:val="32"/>
        </w:rPr>
        <w:t>58号港股IPO投资集合资金信托计划</w:t>
      </w:r>
    </w:p>
    <w:p w:rsidR="00EE6136" w:rsidRDefault="008A70A2">
      <w:pPr>
        <w:jc w:val="center"/>
        <w:rPr>
          <w:rFonts w:asciiTheme="minorEastAsia" w:hAnsiTheme="minorEastAsia"/>
          <w:b/>
          <w:sz w:val="32"/>
          <w:szCs w:val="32"/>
        </w:rPr>
      </w:pPr>
      <w:r>
        <w:rPr>
          <w:rFonts w:asciiTheme="minorEastAsia" w:hAnsiTheme="minorEastAsia" w:hint="eastAsia"/>
          <w:b/>
          <w:sz w:val="32"/>
          <w:szCs w:val="32"/>
        </w:rPr>
        <w:t>第一次受益人大会</w:t>
      </w:r>
    </w:p>
    <w:p w:rsidR="00EE6136" w:rsidRDefault="008A70A2">
      <w:pPr>
        <w:jc w:val="center"/>
        <w:rPr>
          <w:rFonts w:asciiTheme="minorEastAsia" w:hAnsiTheme="minorEastAsia"/>
          <w:b/>
          <w:sz w:val="32"/>
          <w:szCs w:val="32"/>
        </w:rPr>
      </w:pPr>
      <w:r>
        <w:rPr>
          <w:rFonts w:asciiTheme="minorEastAsia" w:hAnsiTheme="minorEastAsia" w:hint="eastAsia"/>
          <w:b/>
          <w:sz w:val="32"/>
          <w:szCs w:val="32"/>
        </w:rPr>
        <w:t>表决票</w:t>
      </w:r>
    </w:p>
    <w:p w:rsidR="00EE6136" w:rsidRDefault="00EE6136">
      <w:pPr>
        <w:jc w:val="center"/>
        <w:rPr>
          <w:rFonts w:asciiTheme="minorEastAsia" w:hAnsiTheme="minorEastAsia"/>
          <w:sz w:val="32"/>
          <w:szCs w:val="32"/>
        </w:rPr>
      </w:pPr>
    </w:p>
    <w:p w:rsidR="00EE6136" w:rsidRDefault="008A70A2">
      <w:pPr>
        <w:pStyle w:val="1"/>
        <w:numPr>
          <w:ilvl w:val="0"/>
          <w:numId w:val="1"/>
        </w:numPr>
        <w:ind w:firstLineChars="0"/>
        <w:rPr>
          <w:rFonts w:ascii="仿宋_GB2312" w:eastAsia="仿宋_GB2312"/>
          <w:sz w:val="28"/>
          <w:szCs w:val="28"/>
        </w:rPr>
      </w:pPr>
      <w:r>
        <w:rPr>
          <w:rFonts w:ascii="仿宋_GB2312" w:eastAsia="仿宋_GB2312" w:hint="eastAsia"/>
          <w:sz w:val="28"/>
          <w:szCs w:val="28"/>
        </w:rPr>
        <w:t>表决人资料</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受益人姓名/名称：</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身份证件/证照号码：</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机构受益人法定代表人/负责人姓名：</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法定代表人/负责人身份证件号码：</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持有信托份额：</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代理人姓名：（或有）</w:t>
      </w:r>
    </w:p>
    <w:p w:rsidR="00EE6136" w:rsidRDefault="008A70A2">
      <w:pPr>
        <w:pStyle w:val="1"/>
        <w:numPr>
          <w:ilvl w:val="0"/>
          <w:numId w:val="2"/>
        </w:numPr>
        <w:ind w:firstLineChars="0"/>
        <w:rPr>
          <w:rFonts w:ascii="仿宋_GB2312" w:eastAsia="仿宋_GB2312"/>
          <w:sz w:val="28"/>
          <w:szCs w:val="28"/>
        </w:rPr>
      </w:pPr>
      <w:r>
        <w:rPr>
          <w:rFonts w:ascii="仿宋_GB2312" w:eastAsia="仿宋_GB2312" w:hint="eastAsia"/>
          <w:sz w:val="28"/>
          <w:szCs w:val="28"/>
        </w:rPr>
        <w:t>代理人身份证件号码：（或有）</w:t>
      </w:r>
    </w:p>
    <w:p w:rsidR="00EE6136" w:rsidRDefault="008A70A2">
      <w:pPr>
        <w:pStyle w:val="1"/>
        <w:numPr>
          <w:ilvl w:val="0"/>
          <w:numId w:val="1"/>
        </w:numPr>
        <w:ind w:firstLineChars="0"/>
        <w:rPr>
          <w:rFonts w:ascii="仿宋_GB2312" w:eastAsia="仿宋_GB2312"/>
          <w:sz w:val="28"/>
          <w:szCs w:val="28"/>
        </w:rPr>
      </w:pPr>
      <w:r>
        <w:rPr>
          <w:rFonts w:ascii="仿宋_GB2312" w:eastAsia="仿宋_GB2312" w:hint="eastAsia"/>
          <w:sz w:val="28"/>
          <w:szCs w:val="28"/>
        </w:rPr>
        <w:t>审议事项及表决意见（请在相应意见后标记“√”）</w:t>
      </w:r>
    </w:p>
    <w:tbl>
      <w:tblPr>
        <w:tblStyle w:val="a7"/>
        <w:tblW w:w="8528" w:type="dxa"/>
        <w:tblLayout w:type="fixed"/>
        <w:tblLook w:val="04A0" w:firstRow="1" w:lastRow="0" w:firstColumn="1" w:lastColumn="0" w:noHBand="0" w:noVBand="1"/>
      </w:tblPr>
      <w:tblGrid>
        <w:gridCol w:w="5211"/>
        <w:gridCol w:w="1105"/>
        <w:gridCol w:w="1106"/>
        <w:gridCol w:w="1106"/>
      </w:tblGrid>
      <w:tr w:rsidR="00EE6136">
        <w:tc>
          <w:tcPr>
            <w:tcW w:w="5211" w:type="dxa"/>
            <w:vMerge w:val="restart"/>
            <w:vAlign w:val="center"/>
          </w:tcPr>
          <w:p w:rsidR="00EE6136" w:rsidRDefault="008A70A2">
            <w:pPr>
              <w:jc w:val="center"/>
              <w:rPr>
                <w:rFonts w:ascii="仿宋_GB2312" w:eastAsia="仿宋_GB2312"/>
                <w:sz w:val="28"/>
                <w:szCs w:val="28"/>
              </w:rPr>
            </w:pPr>
            <w:r>
              <w:rPr>
                <w:rFonts w:ascii="仿宋_GB2312" w:eastAsia="仿宋_GB2312" w:hint="eastAsia"/>
                <w:sz w:val="28"/>
                <w:szCs w:val="28"/>
              </w:rPr>
              <w:t>审议事项</w:t>
            </w:r>
          </w:p>
        </w:tc>
        <w:tc>
          <w:tcPr>
            <w:tcW w:w="3317" w:type="dxa"/>
            <w:gridSpan w:val="3"/>
          </w:tcPr>
          <w:p w:rsidR="00EE6136" w:rsidRDefault="008A70A2">
            <w:pPr>
              <w:jc w:val="center"/>
              <w:rPr>
                <w:rFonts w:ascii="仿宋_GB2312" w:eastAsia="仿宋_GB2312"/>
                <w:sz w:val="28"/>
                <w:szCs w:val="28"/>
              </w:rPr>
            </w:pPr>
            <w:r>
              <w:rPr>
                <w:rFonts w:ascii="仿宋_GB2312" w:eastAsia="仿宋_GB2312" w:hint="eastAsia"/>
                <w:sz w:val="28"/>
                <w:szCs w:val="28"/>
              </w:rPr>
              <w:t>表决意见</w:t>
            </w:r>
          </w:p>
        </w:tc>
      </w:tr>
      <w:tr w:rsidR="00EE6136">
        <w:tc>
          <w:tcPr>
            <w:tcW w:w="5211" w:type="dxa"/>
            <w:vMerge/>
          </w:tcPr>
          <w:p w:rsidR="00EE6136" w:rsidRDefault="00EE6136">
            <w:pPr>
              <w:rPr>
                <w:rFonts w:ascii="仿宋_GB2312" w:eastAsia="仿宋_GB2312"/>
                <w:sz w:val="28"/>
                <w:szCs w:val="28"/>
              </w:rPr>
            </w:pPr>
          </w:p>
        </w:tc>
        <w:tc>
          <w:tcPr>
            <w:tcW w:w="1105" w:type="dxa"/>
          </w:tcPr>
          <w:p w:rsidR="00EE6136" w:rsidRDefault="008A70A2">
            <w:pPr>
              <w:rPr>
                <w:rFonts w:ascii="仿宋_GB2312" w:eastAsia="仿宋_GB2312"/>
                <w:sz w:val="28"/>
                <w:szCs w:val="28"/>
              </w:rPr>
            </w:pPr>
            <w:r>
              <w:rPr>
                <w:rFonts w:ascii="仿宋_GB2312" w:eastAsia="仿宋_GB2312" w:hint="eastAsia"/>
                <w:sz w:val="28"/>
                <w:szCs w:val="28"/>
              </w:rPr>
              <w:t>同意</w:t>
            </w:r>
          </w:p>
        </w:tc>
        <w:tc>
          <w:tcPr>
            <w:tcW w:w="1106" w:type="dxa"/>
          </w:tcPr>
          <w:p w:rsidR="00EE6136" w:rsidRDefault="008A70A2">
            <w:pPr>
              <w:rPr>
                <w:rFonts w:ascii="仿宋_GB2312" w:eastAsia="仿宋_GB2312"/>
                <w:sz w:val="28"/>
                <w:szCs w:val="28"/>
              </w:rPr>
            </w:pPr>
            <w:r>
              <w:rPr>
                <w:rFonts w:ascii="仿宋_GB2312" w:eastAsia="仿宋_GB2312" w:hint="eastAsia"/>
                <w:sz w:val="28"/>
                <w:szCs w:val="28"/>
              </w:rPr>
              <w:t>反对</w:t>
            </w:r>
          </w:p>
        </w:tc>
        <w:tc>
          <w:tcPr>
            <w:tcW w:w="1106" w:type="dxa"/>
          </w:tcPr>
          <w:p w:rsidR="00EE6136" w:rsidRDefault="008A70A2">
            <w:pPr>
              <w:rPr>
                <w:rFonts w:ascii="仿宋_GB2312" w:eastAsia="仿宋_GB2312"/>
                <w:sz w:val="28"/>
                <w:szCs w:val="28"/>
              </w:rPr>
            </w:pPr>
            <w:r>
              <w:rPr>
                <w:rFonts w:ascii="仿宋_GB2312" w:eastAsia="仿宋_GB2312" w:hint="eastAsia"/>
                <w:sz w:val="28"/>
                <w:szCs w:val="28"/>
              </w:rPr>
              <w:t>弃权</w:t>
            </w:r>
          </w:p>
        </w:tc>
      </w:tr>
      <w:tr w:rsidR="00EE6136">
        <w:tc>
          <w:tcPr>
            <w:tcW w:w="5211" w:type="dxa"/>
          </w:tcPr>
          <w:p w:rsidR="00EE6136" w:rsidRDefault="008A70A2">
            <w:pPr>
              <w:autoSpaceDE w:val="0"/>
              <w:autoSpaceDN w:val="0"/>
              <w:adjustRightInd w:val="0"/>
              <w:spacing w:beforeLines="50" w:before="156" w:afterLines="50" w:after="156" w:line="360" w:lineRule="auto"/>
              <w:ind w:firstLineChars="150" w:firstLine="360"/>
              <w:rPr>
                <w:rFonts w:eastAsia="楷体_GB2312"/>
                <w:sz w:val="24"/>
              </w:rPr>
            </w:pPr>
            <w:r>
              <w:rPr>
                <w:rFonts w:eastAsia="楷体_GB2312" w:hint="eastAsia"/>
                <w:sz w:val="24"/>
              </w:rPr>
              <w:t>1.</w:t>
            </w:r>
            <w:r>
              <w:rPr>
                <w:rFonts w:eastAsia="楷体_GB2312"/>
                <w:sz w:val="24"/>
              </w:rPr>
              <w:t>信托计划预计存续期限内或者延长期内</w:t>
            </w:r>
            <w:r>
              <w:rPr>
                <w:rFonts w:ascii="楷体_GB2312" w:eastAsia="楷体_GB2312" w:hAnsi="楷体_GB2312" w:cs="楷体_GB2312" w:hint="eastAsia"/>
                <w:sz w:val="24"/>
              </w:rPr>
              <w:t>，受托人均有权根据信托计划运营情况自行决定变现信托财产，无需提请受益人大会审议决定。</w:t>
            </w:r>
            <w:r>
              <w:rPr>
                <w:rFonts w:eastAsia="楷体_GB2312"/>
                <w:sz w:val="24"/>
              </w:rPr>
              <w:t>信托计划预计存续期限届满时，因任何原因</w:t>
            </w:r>
            <w:r>
              <w:rPr>
                <w:rFonts w:eastAsia="楷体_GB2312" w:hint="eastAsia"/>
                <w:sz w:val="24"/>
              </w:rPr>
              <w:t>（包括但不限于标的公司停牌和</w:t>
            </w:r>
            <w:r>
              <w:rPr>
                <w:rFonts w:ascii="楷体_GB2312" w:eastAsia="楷体_GB2312" w:hAnsi="楷体_GB2312" w:cs="楷体_GB2312" w:hint="eastAsia"/>
                <w:sz w:val="24"/>
              </w:rPr>
              <w:t>受托人根据信托计划运营情况决定暂</w:t>
            </w:r>
            <w:proofErr w:type="gramStart"/>
            <w:r>
              <w:rPr>
                <w:rFonts w:ascii="楷体_GB2312" w:eastAsia="楷体_GB2312" w:hAnsi="楷体_GB2312" w:cs="楷体_GB2312" w:hint="eastAsia"/>
                <w:sz w:val="24"/>
              </w:rPr>
              <w:t>不变现</w:t>
            </w:r>
            <w:proofErr w:type="gramEnd"/>
            <w:r>
              <w:rPr>
                <w:rFonts w:ascii="楷体_GB2312" w:eastAsia="楷体_GB2312" w:hAnsi="楷体_GB2312" w:cs="楷体_GB2312" w:hint="eastAsia"/>
                <w:sz w:val="24"/>
              </w:rPr>
              <w:t>信托财产</w:t>
            </w:r>
            <w:r>
              <w:rPr>
                <w:rFonts w:eastAsia="楷体_GB2312" w:hint="eastAsia"/>
                <w:sz w:val="24"/>
              </w:rPr>
              <w:t>）</w:t>
            </w:r>
            <w:r>
              <w:rPr>
                <w:rFonts w:eastAsia="楷体_GB2312"/>
                <w:sz w:val="24"/>
              </w:rPr>
              <w:t>导致信托财产没有全部变现的，本信托计划</w:t>
            </w:r>
            <w:r>
              <w:rPr>
                <w:rFonts w:eastAsia="楷体_GB2312" w:hint="eastAsia"/>
                <w:bCs/>
                <w:sz w:val="24"/>
              </w:rPr>
              <w:t>及届时存续的各类</w:t>
            </w:r>
            <w:r>
              <w:rPr>
                <w:rFonts w:eastAsia="楷体_GB2312" w:hint="eastAsia"/>
                <w:bCs/>
                <w:sz w:val="24"/>
              </w:rPr>
              <w:lastRenderedPageBreak/>
              <w:t>信托单位</w:t>
            </w:r>
            <w:r>
              <w:rPr>
                <w:rFonts w:eastAsia="楷体_GB2312"/>
                <w:sz w:val="24"/>
              </w:rPr>
              <w:t>将自动进入延长期</w:t>
            </w:r>
            <w:r>
              <w:rPr>
                <w:rFonts w:eastAsia="楷体_GB2312" w:hint="eastAsia"/>
                <w:sz w:val="24"/>
              </w:rPr>
              <w:t>。</w:t>
            </w:r>
          </w:p>
          <w:p w:rsidR="00EE6136" w:rsidRDefault="008A70A2">
            <w:pPr>
              <w:autoSpaceDE w:val="0"/>
              <w:autoSpaceDN w:val="0"/>
              <w:adjustRightInd w:val="0"/>
              <w:spacing w:beforeLines="50" w:before="156" w:afterLines="50" w:after="156" w:line="360" w:lineRule="auto"/>
              <w:ind w:firstLineChars="150" w:firstLine="360"/>
              <w:rPr>
                <w:rFonts w:eastAsia="楷体_GB2312"/>
                <w:sz w:val="24"/>
              </w:rPr>
            </w:pPr>
            <w:r>
              <w:rPr>
                <w:rFonts w:ascii="楷体_GB2312" w:eastAsia="楷体_GB2312" w:hAnsi="楷体_GB2312" w:cs="楷体_GB2312" w:hint="eastAsia"/>
                <w:sz w:val="24"/>
              </w:rPr>
              <w:t>2.信托计划进入延长期的，受托人在延长期内不再收取固定信托报酬，浮动信托报酬按照原合同的约定于信托计划终止日（</w:t>
            </w:r>
            <w:r>
              <w:rPr>
                <w:rFonts w:eastAsia="楷体_GB2312" w:hint="eastAsia"/>
                <w:bCs/>
                <w:sz w:val="24"/>
              </w:rPr>
              <w:t>即延长期终止之日</w:t>
            </w:r>
            <w:r>
              <w:rPr>
                <w:rFonts w:ascii="楷体_GB2312" w:eastAsia="楷体_GB2312" w:hAnsi="楷体_GB2312" w:cs="楷体_GB2312" w:hint="eastAsia"/>
                <w:sz w:val="24"/>
              </w:rPr>
              <w:t>）计算，并于</w:t>
            </w:r>
            <w:r>
              <w:rPr>
                <w:rFonts w:eastAsia="楷体_GB2312" w:hint="eastAsia"/>
                <w:sz w:val="24"/>
              </w:rPr>
              <w:t>信托计划终止日之后的</w:t>
            </w:r>
            <w:r>
              <w:rPr>
                <w:rFonts w:eastAsia="楷体_GB2312"/>
                <w:sz w:val="24"/>
              </w:rPr>
              <w:t>10</w:t>
            </w:r>
            <w:r>
              <w:rPr>
                <w:rFonts w:eastAsia="楷体_GB2312" w:hint="eastAsia"/>
                <w:sz w:val="24"/>
              </w:rPr>
              <w:t>个工作日内支付。</w:t>
            </w:r>
          </w:p>
          <w:p w:rsidR="00EE6136" w:rsidRDefault="008A70A2">
            <w:pPr>
              <w:autoSpaceDE w:val="0"/>
              <w:autoSpaceDN w:val="0"/>
              <w:adjustRightInd w:val="0"/>
              <w:spacing w:beforeLines="50" w:before="156" w:afterLines="50" w:after="156" w:line="360" w:lineRule="auto"/>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信托计划进入延长期的，保管费按照原合同的约定计算并向保管行支付。</w:t>
            </w:r>
          </w:p>
          <w:p w:rsidR="00EE6136" w:rsidRDefault="008A70A2">
            <w:pPr>
              <w:autoSpaceDE w:val="0"/>
              <w:autoSpaceDN w:val="0"/>
              <w:adjustRightInd w:val="0"/>
              <w:spacing w:beforeLines="50" w:before="156" w:afterLines="50" w:after="156" w:line="360" w:lineRule="auto"/>
              <w:ind w:firstLineChars="150" w:firstLine="360"/>
              <w:rPr>
                <w:rFonts w:ascii="楷体_GB2312" w:eastAsia="楷体_GB2312" w:hAnsi="楷体_GB2312" w:cs="楷体_GB2312"/>
                <w:sz w:val="24"/>
              </w:rPr>
            </w:pPr>
            <w:r>
              <w:rPr>
                <w:rFonts w:ascii="楷体_GB2312" w:eastAsia="楷体_GB2312" w:hAnsi="楷体_GB2312" w:cs="楷体_GB2312" w:hint="eastAsia"/>
                <w:sz w:val="24"/>
              </w:rPr>
              <w:t>信托计划进入延长期的</w:t>
            </w:r>
            <w:r>
              <w:rPr>
                <w:rFonts w:eastAsia="楷体_GB2312" w:hint="eastAsia"/>
                <w:sz w:val="24"/>
              </w:rPr>
              <w:t>，受托人认购的保障基金仍将作为信托财产投资组合的一部分，基金收益计算方法、基金本金及收益的分配方式以原合同的约定为准。</w:t>
            </w:r>
          </w:p>
          <w:p w:rsidR="00EE6136" w:rsidRDefault="008A70A2">
            <w:pPr>
              <w:autoSpaceDE w:val="0"/>
              <w:autoSpaceDN w:val="0"/>
              <w:adjustRightInd w:val="0"/>
              <w:spacing w:beforeLines="50" w:before="156" w:afterLines="50" w:after="156" w:line="360" w:lineRule="auto"/>
              <w:ind w:firstLineChars="150" w:firstLine="360"/>
              <w:rPr>
                <w:rFonts w:ascii="楷体_GB2312" w:eastAsia="楷体_GB2312" w:hAnsi="楷体_GB2312" w:cs="楷体_GB2312"/>
                <w:sz w:val="24"/>
              </w:rPr>
            </w:pPr>
            <w:r>
              <w:rPr>
                <w:rFonts w:ascii="楷体_GB2312" w:eastAsia="楷体_GB2312" w:hAnsi="楷体_GB2312" w:cs="楷体_GB2312" w:hint="eastAsia"/>
                <w:sz w:val="24"/>
              </w:rPr>
              <w:t>3.原合同第7.8.2项最后一个段落约定“</w:t>
            </w:r>
            <w:r>
              <w:rPr>
                <w:rFonts w:eastAsia="楷体_GB2312" w:hint="eastAsia"/>
                <w:sz w:val="24"/>
              </w:rPr>
              <w:t>本信托计划预警线为</w:t>
            </w:r>
            <w:r>
              <w:rPr>
                <w:rFonts w:eastAsia="楷体_GB2312" w:hint="eastAsia"/>
                <w:sz w:val="24"/>
              </w:rPr>
              <w:t>0.85</w:t>
            </w:r>
            <w:r>
              <w:rPr>
                <w:rFonts w:eastAsia="楷体_GB2312" w:hint="eastAsia"/>
                <w:sz w:val="24"/>
              </w:rPr>
              <w:t>元人民币。</w:t>
            </w:r>
            <w:r>
              <w:rPr>
                <w:rFonts w:eastAsia="楷体_GB2312" w:hint="eastAsia"/>
                <w:sz w:val="24"/>
              </w:rPr>
              <w:t>T</w:t>
            </w:r>
            <w:r>
              <w:rPr>
                <w:rFonts w:eastAsia="楷体_GB2312" w:hint="eastAsia"/>
                <w:sz w:val="24"/>
              </w:rPr>
              <w:t>日信托单位净值低于</w:t>
            </w:r>
            <w:r>
              <w:rPr>
                <w:rFonts w:eastAsia="楷体_GB2312" w:hint="eastAsia"/>
                <w:sz w:val="24"/>
              </w:rPr>
              <w:t>0.85</w:t>
            </w:r>
            <w:r>
              <w:rPr>
                <w:rFonts w:eastAsia="楷体_GB2312" w:hint="eastAsia"/>
                <w:sz w:val="24"/>
              </w:rPr>
              <w:t>元人民币时，受托人将对投资标的进行重新评估，撰写分析报告，并自行决策是否改变投资策略。当信托单位净值低于</w:t>
            </w:r>
            <w:r>
              <w:rPr>
                <w:rFonts w:eastAsia="楷体_GB2312" w:hint="eastAsia"/>
                <w:sz w:val="24"/>
              </w:rPr>
              <w:t>0.75</w:t>
            </w:r>
            <w:r>
              <w:rPr>
                <w:rFonts w:eastAsia="楷体_GB2312" w:hint="eastAsia"/>
                <w:sz w:val="24"/>
              </w:rPr>
              <w:t>元人民币时，受托人将对投资标的进行平仓，并自行决定抛售的时机，但所持股票仍处于锁定期无法出售或受托人根据信托计划运营情况决定继续持有股票的除外。全体委托人</w:t>
            </w:r>
            <w:r>
              <w:rPr>
                <w:rFonts w:eastAsia="楷体_GB2312" w:hint="eastAsia"/>
                <w:sz w:val="24"/>
              </w:rPr>
              <w:t>/</w:t>
            </w:r>
            <w:r>
              <w:rPr>
                <w:rFonts w:eastAsia="楷体_GB2312" w:hint="eastAsia"/>
                <w:sz w:val="24"/>
              </w:rPr>
              <w:t>受益人承认受托人享有完全自主的交易决策权，并愿意承担受托人交易决策给信托财产造成的损益。</w:t>
            </w:r>
            <w:r>
              <w:rPr>
                <w:rFonts w:ascii="楷体_GB2312" w:eastAsia="楷体_GB2312" w:hAnsi="楷体_GB2312" w:cs="楷体_GB2312" w:hint="eastAsia"/>
                <w:sz w:val="24"/>
              </w:rPr>
              <w:t>”</w:t>
            </w:r>
          </w:p>
          <w:p w:rsidR="00EE6136" w:rsidRDefault="008A70A2">
            <w:pPr>
              <w:autoSpaceDE w:val="0"/>
              <w:autoSpaceDN w:val="0"/>
              <w:adjustRightInd w:val="0"/>
              <w:spacing w:beforeLines="50" w:before="156" w:afterLines="50" w:after="156" w:line="360" w:lineRule="auto"/>
              <w:ind w:firstLineChars="150" w:firstLine="360"/>
              <w:rPr>
                <w:rFonts w:ascii="楷体_GB2312" w:eastAsia="楷体_GB2312" w:hAnsi="楷体_GB2312" w:cs="楷体_GB2312"/>
                <w:sz w:val="24"/>
              </w:rPr>
            </w:pPr>
            <w:r>
              <w:rPr>
                <w:rFonts w:ascii="楷体_GB2312" w:eastAsia="楷体_GB2312" w:hAnsi="楷体_GB2312" w:cs="楷体_GB2312" w:hint="eastAsia"/>
                <w:sz w:val="24"/>
              </w:rPr>
              <w:t>现修改为“</w:t>
            </w:r>
            <w:r>
              <w:rPr>
                <w:rFonts w:eastAsia="楷体_GB2312" w:hint="eastAsia"/>
                <w:sz w:val="24"/>
              </w:rPr>
              <w:t>本信托计划预警线为</w:t>
            </w:r>
            <w:r>
              <w:rPr>
                <w:rFonts w:eastAsia="楷体_GB2312" w:hint="eastAsia"/>
                <w:sz w:val="24"/>
              </w:rPr>
              <w:t>0.85</w:t>
            </w:r>
            <w:r>
              <w:rPr>
                <w:rFonts w:eastAsia="楷体_GB2312" w:hint="eastAsia"/>
                <w:sz w:val="24"/>
              </w:rPr>
              <w:t>元人民币。</w:t>
            </w:r>
            <w:r>
              <w:rPr>
                <w:rFonts w:eastAsia="楷体_GB2312" w:hint="eastAsia"/>
                <w:sz w:val="24"/>
              </w:rPr>
              <w:t>T</w:t>
            </w:r>
            <w:r>
              <w:rPr>
                <w:rFonts w:eastAsia="楷体_GB2312" w:hint="eastAsia"/>
                <w:sz w:val="24"/>
              </w:rPr>
              <w:t>日信托单位净值低于</w:t>
            </w:r>
            <w:r>
              <w:rPr>
                <w:rFonts w:eastAsia="楷体_GB2312" w:hint="eastAsia"/>
                <w:sz w:val="24"/>
              </w:rPr>
              <w:t>0.85</w:t>
            </w:r>
            <w:r>
              <w:rPr>
                <w:rFonts w:eastAsia="楷体_GB2312" w:hint="eastAsia"/>
                <w:sz w:val="24"/>
              </w:rPr>
              <w:t>元人民币时，受托人将对投资标的进行重新评估，撰写分析报告，并自行决策是否改变投资策略。</w:t>
            </w:r>
            <w:r>
              <w:rPr>
                <w:rFonts w:ascii="楷体_GB2312" w:eastAsia="楷体_GB2312" w:hAnsi="楷体_GB2312" w:cs="楷体_GB2312" w:hint="eastAsia"/>
                <w:sz w:val="24"/>
              </w:rPr>
              <w:t>”</w:t>
            </w:r>
          </w:p>
        </w:tc>
        <w:tc>
          <w:tcPr>
            <w:tcW w:w="1105" w:type="dxa"/>
          </w:tcPr>
          <w:p w:rsidR="00EE6136" w:rsidRDefault="00EE6136">
            <w:pPr>
              <w:rPr>
                <w:rFonts w:ascii="仿宋_GB2312" w:eastAsia="仿宋_GB2312"/>
                <w:sz w:val="28"/>
                <w:szCs w:val="28"/>
              </w:rPr>
            </w:pPr>
          </w:p>
        </w:tc>
        <w:tc>
          <w:tcPr>
            <w:tcW w:w="1106" w:type="dxa"/>
          </w:tcPr>
          <w:p w:rsidR="00EE6136" w:rsidRDefault="00EE6136">
            <w:pPr>
              <w:rPr>
                <w:rFonts w:ascii="仿宋_GB2312" w:eastAsia="仿宋_GB2312"/>
                <w:sz w:val="28"/>
                <w:szCs w:val="28"/>
              </w:rPr>
            </w:pPr>
          </w:p>
        </w:tc>
        <w:tc>
          <w:tcPr>
            <w:tcW w:w="1106" w:type="dxa"/>
          </w:tcPr>
          <w:p w:rsidR="00EE6136" w:rsidRDefault="00EE6136">
            <w:pPr>
              <w:rPr>
                <w:rFonts w:ascii="仿宋_GB2312" w:eastAsia="仿宋_GB2312"/>
                <w:sz w:val="28"/>
                <w:szCs w:val="28"/>
              </w:rPr>
            </w:pPr>
          </w:p>
        </w:tc>
      </w:tr>
    </w:tbl>
    <w:p w:rsidR="00EE6136" w:rsidRDefault="00EE6136">
      <w:pPr>
        <w:rPr>
          <w:rFonts w:ascii="仿宋_GB2312" w:eastAsia="仿宋_GB2312"/>
          <w:sz w:val="28"/>
          <w:szCs w:val="28"/>
        </w:rPr>
      </w:pPr>
    </w:p>
    <w:p w:rsidR="00EE6136" w:rsidRDefault="008A70A2">
      <w:pPr>
        <w:pStyle w:val="1"/>
        <w:numPr>
          <w:ilvl w:val="0"/>
          <w:numId w:val="1"/>
        </w:numPr>
        <w:ind w:firstLineChars="0"/>
        <w:rPr>
          <w:rFonts w:ascii="仿宋_GB2312" w:eastAsia="仿宋_GB2312"/>
          <w:sz w:val="28"/>
          <w:szCs w:val="28"/>
        </w:rPr>
      </w:pPr>
      <w:r>
        <w:rPr>
          <w:rFonts w:ascii="仿宋_GB2312" w:eastAsia="仿宋_GB2312" w:hint="eastAsia"/>
          <w:sz w:val="28"/>
          <w:szCs w:val="28"/>
        </w:rPr>
        <w:t>受益人/代理人在回邮表决票原件时，应将下述材料一并寄回：</w:t>
      </w:r>
    </w:p>
    <w:p w:rsidR="00EE6136" w:rsidRDefault="008A70A2">
      <w:pPr>
        <w:pStyle w:val="listparagraph"/>
        <w:wordWrap w:val="0"/>
        <w:spacing w:line="48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（1）如为自然人，应提交受益人签</w:t>
      </w:r>
      <w:r w:rsidR="00FA7D1E">
        <w:rPr>
          <w:rFonts w:ascii="仿宋_GB2312" w:eastAsia="仿宋_GB2312" w:hAnsi="Times New Roman" w:cs="Times New Roman" w:hint="eastAsia"/>
          <w:kern w:val="2"/>
          <w:sz w:val="28"/>
          <w:szCs w:val="28"/>
        </w:rPr>
        <w:t>字的身份证</w:t>
      </w:r>
      <w:r>
        <w:rPr>
          <w:rFonts w:ascii="仿宋_GB2312" w:eastAsia="仿宋_GB2312" w:hAnsi="Times New Roman" w:cs="Times New Roman" w:hint="eastAsia"/>
          <w:kern w:val="2"/>
          <w:sz w:val="28"/>
          <w:szCs w:val="28"/>
        </w:rPr>
        <w:t>复印件；</w:t>
      </w:r>
    </w:p>
    <w:p w:rsidR="00EE6136" w:rsidRDefault="008A70A2">
      <w:pPr>
        <w:pStyle w:val="listparagraph"/>
        <w:wordWrap w:val="0"/>
        <w:spacing w:line="48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（2</w:t>
      </w:r>
      <w:r w:rsidR="00FA7D1E">
        <w:rPr>
          <w:rFonts w:ascii="仿宋_GB2312" w:eastAsia="仿宋_GB2312" w:hAnsi="Times New Roman" w:cs="Times New Roman" w:hint="eastAsia"/>
          <w:kern w:val="2"/>
          <w:sz w:val="28"/>
          <w:szCs w:val="28"/>
        </w:rPr>
        <w:t>）如为机构受益人，应向计</w:t>
      </w:r>
      <w:r>
        <w:rPr>
          <w:rFonts w:ascii="仿宋_GB2312" w:eastAsia="仿宋_GB2312" w:hAnsi="Times New Roman" w:cs="Times New Roman" w:hint="eastAsia"/>
          <w:kern w:val="2"/>
          <w:sz w:val="28"/>
          <w:szCs w:val="28"/>
        </w:rPr>
        <w:t>票员邮寄加盖公章并由法定代表人签章以示确认的表决票原件，以及加盖机构公章的有效营业执照副本复印件、法定代表人/负责人身份证</w:t>
      </w:r>
      <w:r w:rsidR="00FA7D1E">
        <w:rPr>
          <w:rFonts w:ascii="仿宋_GB2312" w:eastAsia="仿宋_GB2312" w:hAnsi="Times New Roman" w:cs="Times New Roman" w:hint="eastAsia"/>
          <w:kern w:val="2"/>
          <w:sz w:val="28"/>
          <w:szCs w:val="28"/>
        </w:rPr>
        <w:t>明</w:t>
      </w:r>
      <w:r>
        <w:rPr>
          <w:rFonts w:ascii="仿宋_GB2312" w:eastAsia="仿宋_GB2312" w:hAnsi="Times New Roman" w:cs="Times New Roman" w:hint="eastAsia"/>
          <w:kern w:val="2"/>
          <w:sz w:val="28"/>
          <w:szCs w:val="28"/>
        </w:rPr>
        <w:t>书原件及法定代表人/负责人签字的身份证复印件。</w:t>
      </w:r>
    </w:p>
    <w:p w:rsidR="00EE6136" w:rsidRDefault="008A70A2">
      <w:pPr>
        <w:pStyle w:val="listparagraph"/>
        <w:wordWrap w:val="0"/>
        <w:spacing w:line="480" w:lineRule="auto"/>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（3）代理人参会的，除根据上</w:t>
      </w:r>
      <w:r w:rsidR="00FA7D1E">
        <w:rPr>
          <w:rFonts w:ascii="仿宋_GB2312" w:eastAsia="仿宋_GB2312" w:hAnsi="Times New Roman" w:cs="Times New Roman" w:hint="eastAsia"/>
          <w:kern w:val="2"/>
          <w:sz w:val="28"/>
          <w:szCs w:val="28"/>
        </w:rPr>
        <w:t>述规定提交所列各项复印件外，还应当提交代理人签字的代理人身份证</w:t>
      </w:r>
      <w:r>
        <w:rPr>
          <w:rFonts w:ascii="仿宋_GB2312" w:eastAsia="仿宋_GB2312" w:hAnsi="Times New Roman" w:cs="Times New Roman" w:hint="eastAsia"/>
          <w:kern w:val="2"/>
          <w:sz w:val="28"/>
          <w:szCs w:val="28"/>
        </w:rPr>
        <w:t>复印件及授权委托书原件。</w:t>
      </w:r>
    </w:p>
    <w:p w:rsidR="00EE6136" w:rsidRDefault="00EE6136">
      <w:pPr>
        <w:rPr>
          <w:rFonts w:ascii="仿宋_GB2312" w:eastAsia="仿宋_GB2312"/>
          <w:sz w:val="28"/>
          <w:szCs w:val="28"/>
        </w:rPr>
      </w:pPr>
    </w:p>
    <w:p w:rsidR="00EE6136" w:rsidRDefault="00EE6136">
      <w:pPr>
        <w:rPr>
          <w:rFonts w:ascii="仿宋_GB2312" w:eastAsia="仿宋_GB2312"/>
          <w:sz w:val="28"/>
          <w:szCs w:val="28"/>
        </w:rPr>
      </w:pPr>
    </w:p>
    <w:p w:rsidR="00EE6136" w:rsidRDefault="008A70A2">
      <w:pPr>
        <w:rPr>
          <w:rFonts w:ascii="仿宋_GB2312" w:eastAsia="仿宋_GB2312"/>
          <w:sz w:val="28"/>
          <w:szCs w:val="28"/>
        </w:rPr>
      </w:pPr>
      <w:r>
        <w:rPr>
          <w:rFonts w:ascii="仿宋_GB2312" w:eastAsia="仿宋_GB2312" w:hint="eastAsia"/>
          <w:sz w:val="28"/>
          <w:szCs w:val="28"/>
        </w:rPr>
        <w:t>受益人/代理人签章：</w:t>
      </w:r>
    </w:p>
    <w:p w:rsidR="00EE6136" w:rsidRDefault="00EE6136">
      <w:pPr>
        <w:rPr>
          <w:rFonts w:ascii="仿宋_GB2312" w:eastAsia="仿宋_GB2312"/>
          <w:sz w:val="28"/>
          <w:szCs w:val="28"/>
        </w:rPr>
      </w:pPr>
    </w:p>
    <w:p w:rsidR="00EE6136" w:rsidRDefault="008A70A2">
      <w:pPr>
        <w:rPr>
          <w:rFonts w:ascii="仿宋_GB2312" w:eastAsia="仿宋_GB2312"/>
          <w:sz w:val="28"/>
          <w:szCs w:val="28"/>
        </w:rPr>
      </w:pPr>
      <w:r>
        <w:rPr>
          <w:rFonts w:ascii="仿宋_GB2312" w:eastAsia="仿宋_GB2312" w:hint="eastAsia"/>
          <w:sz w:val="28"/>
          <w:szCs w:val="28"/>
        </w:rPr>
        <w:t>日期：</w:t>
      </w:r>
    </w:p>
    <w:sectPr w:rsidR="00EE6136">
      <w:headerReference w:type="default" r:id="rId10"/>
      <w:footerReference w:type="default" r:id="rId11"/>
      <w:pgSz w:w="11906" w:h="16838"/>
      <w:pgMar w:top="1673" w:right="1797" w:bottom="1134" w:left="1797" w:header="284" w:footer="19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9DB" w:rsidRDefault="003309DB">
      <w:r>
        <w:separator/>
      </w:r>
    </w:p>
  </w:endnote>
  <w:endnote w:type="continuationSeparator" w:id="0">
    <w:p w:rsidR="003309DB" w:rsidRDefault="0033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36" w:rsidRDefault="008A70A2">
    <w:pPr>
      <w:pStyle w:val="a5"/>
      <w:tabs>
        <w:tab w:val="clear" w:pos="8306"/>
      </w:tabs>
      <w:ind w:leftChars="-857" w:left="-1800" w:rightChars="-844" w:right="-1772"/>
      <w:jc w:val="center"/>
    </w:pPr>
    <w:r>
      <w:rPr>
        <w:rFonts w:hint="eastAsia"/>
        <w:noProof/>
      </w:rPr>
      <w:drawing>
        <wp:inline distT="0" distB="0" distL="0" distR="0">
          <wp:extent cx="6400800" cy="609600"/>
          <wp:effectExtent l="19050" t="0" r="0" b="0"/>
          <wp:docPr id="2" name="图片 2" descr="5空白文档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空白文档d"/>
                  <pic:cNvPicPr>
                    <a:picLocks noChangeAspect="1" noChangeArrowheads="1"/>
                  </pic:cNvPicPr>
                </pic:nvPicPr>
                <pic:blipFill>
                  <a:blip r:embed="rId1"/>
                  <a:srcRect/>
                  <a:stretch>
                    <a:fillRect/>
                  </a:stretch>
                </pic:blipFill>
                <pic:spPr>
                  <a:xfrm>
                    <a:off x="0" y="0"/>
                    <a:ext cx="6400800" cy="609600"/>
                  </a:xfrm>
                  <a:prstGeom prst="rect">
                    <a:avLst/>
                  </a:prstGeom>
                  <a:noFill/>
                  <a:ln w="9525">
                    <a:noFill/>
                    <a:miter lim="800000"/>
                    <a:headEnd/>
                    <a:tailEnd/>
                  </a:ln>
                </pic:spPr>
              </pic:pic>
            </a:graphicData>
          </a:graphic>
        </wp:inline>
      </w:drawing>
    </w:r>
  </w:p>
  <w:p w:rsidR="00EE6136" w:rsidRDefault="008A70A2">
    <w:pPr>
      <w:pStyle w:val="a5"/>
      <w:tabs>
        <w:tab w:val="clear" w:pos="8306"/>
      </w:tabs>
      <w:spacing w:beforeLines="50" w:before="120"/>
      <w:ind w:leftChars="-857" w:left="-1800" w:rightChars="-844" w:right="-1772"/>
      <w:jc w:val="center"/>
    </w:pPr>
    <w:r>
      <w:rPr>
        <w:rFonts w:ascii="Arial" w:hAnsi="Arial" w:cs="Arial"/>
        <w:b/>
        <w:sz w:val="24"/>
        <w:szCs w:val="24"/>
      </w:rPr>
      <w:fldChar w:fldCharType="begin"/>
    </w:r>
    <w:r>
      <w:rPr>
        <w:rFonts w:ascii="Arial" w:hAnsi="Arial" w:cs="Arial"/>
        <w:b/>
      </w:rPr>
      <w:instrText>PAGE</w:instrText>
    </w:r>
    <w:r>
      <w:rPr>
        <w:rFonts w:ascii="Arial" w:hAnsi="Arial" w:cs="Arial"/>
        <w:b/>
        <w:sz w:val="24"/>
        <w:szCs w:val="24"/>
      </w:rPr>
      <w:fldChar w:fldCharType="separate"/>
    </w:r>
    <w:r w:rsidR="0004022F">
      <w:rPr>
        <w:rFonts w:ascii="Arial" w:hAnsi="Arial" w:cs="Arial"/>
        <w:b/>
        <w:noProof/>
      </w:rPr>
      <w:t>1</w:t>
    </w:r>
    <w:r>
      <w:rPr>
        <w:rFonts w:ascii="Arial" w:hAnsi="Arial" w:cs="Arial"/>
        <w:b/>
        <w:sz w:val="24"/>
        <w:szCs w:val="24"/>
      </w:rPr>
      <w:fldChar w:fldCharType="end"/>
    </w:r>
    <w:r>
      <w:rPr>
        <w:rFonts w:ascii="Arial" w:hAnsi="Arial" w:cs="Arial"/>
        <w:lang w:val="zh-CN"/>
      </w:rPr>
      <w:t xml:space="preserve"> / </w:t>
    </w:r>
    <w:r>
      <w:rPr>
        <w:rFonts w:ascii="Arial" w:hAnsi="Arial" w:cs="Arial"/>
        <w:b/>
        <w:sz w:val="24"/>
        <w:szCs w:val="24"/>
      </w:rPr>
      <w:fldChar w:fldCharType="begin"/>
    </w:r>
    <w:r>
      <w:rPr>
        <w:rFonts w:ascii="Arial" w:hAnsi="Arial" w:cs="Arial"/>
        <w:b/>
      </w:rPr>
      <w:instrText>NUMPAGES</w:instrText>
    </w:r>
    <w:r>
      <w:rPr>
        <w:rFonts w:ascii="Arial" w:hAnsi="Arial" w:cs="Arial"/>
        <w:b/>
        <w:sz w:val="24"/>
        <w:szCs w:val="24"/>
      </w:rPr>
      <w:fldChar w:fldCharType="separate"/>
    </w:r>
    <w:r w:rsidR="0004022F">
      <w:rPr>
        <w:rFonts w:ascii="Arial" w:hAnsi="Arial" w:cs="Arial"/>
        <w:b/>
        <w:noProof/>
      </w:rPr>
      <w:t>3</w:t>
    </w:r>
    <w:r>
      <w:rPr>
        <w:rFonts w:ascii="Arial" w:hAnsi="Arial" w:cs="Arial"/>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9DB" w:rsidRDefault="003309DB">
      <w:r>
        <w:separator/>
      </w:r>
    </w:p>
  </w:footnote>
  <w:footnote w:type="continuationSeparator" w:id="0">
    <w:p w:rsidR="003309DB" w:rsidRDefault="00330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36" w:rsidRDefault="008A70A2">
    <w:pPr>
      <w:pStyle w:val="a6"/>
      <w:tabs>
        <w:tab w:val="clear" w:pos="8306"/>
        <w:tab w:val="right" w:pos="8222"/>
      </w:tabs>
      <w:ind w:leftChars="-855" w:left="-1795" w:rightChars="-834" w:right="-1751"/>
    </w:pPr>
    <w:r>
      <w:rPr>
        <w:noProof/>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680720</wp:posOffset>
              </wp:positionV>
              <wp:extent cx="8229600" cy="198120"/>
              <wp:effectExtent l="0" t="0" r="0" b="11430"/>
              <wp:wrapNone/>
              <wp:docPr id="3" name="矩形 3"/>
              <wp:cNvGraphicFramePr/>
              <a:graphic xmlns:a="http://schemas.openxmlformats.org/drawingml/2006/main">
                <a:graphicData uri="http://schemas.microsoft.com/office/word/2010/wordprocessingShape">
                  <wps:wsp>
                    <wps:cNvSpPr/>
                    <wps:spPr>
                      <a:xfrm>
                        <a:off x="0" y="0"/>
                        <a:ext cx="8229600" cy="198120"/>
                      </a:xfrm>
                      <a:prstGeom prst="rect">
                        <a:avLst/>
                      </a:prstGeom>
                      <a:solidFill>
                        <a:srgbClr val="FFFFFF"/>
                      </a:solidFill>
                      <a:ln w="9525">
                        <a:noFill/>
                        <a:miter/>
                      </a:ln>
                    </wps:spPr>
                    <wps:bodyPr upright="1"/>
                  </wps:wsp>
                </a:graphicData>
              </a:graphic>
            </wp:anchor>
          </w:drawing>
        </mc:Choice>
        <mc:Fallback xmlns:w15="http://schemas.microsoft.com/office/word/2012/wordml">
          <w:pict>
            <v:rect id="_x0000_s1026" o:spid="_x0000_s1026" o:spt="1" style="position:absolute;left:0pt;margin-left:-99pt;margin-top:53.6pt;height:15.6pt;width:648pt;z-index:251658240;mso-width-relative:page;mso-height-relative:page;" fillcolor="#FFFFFF" filled="t" stroked="f" coordsize="21600,21600" o:gfxdata="UEsDBAoAAAAAAIdO4kAAAAAAAAAAAAAAAAAEAAAAZHJzL1BLAwQUAAAACACHTuJAxDN6E9kAAAAN&#10;AQAADwAAAGRycy9kb3ducmV2LnhtbE2PMU/DMBCFdyT+g3VIbK2dtoQ0xOmA1AkYaJFYr7GbRMTn&#10;EDtt+PdcWcp2d+/p3feKzeQ6cbJDaD1pSOYKhKXKm5ZqDR/77SwDESKSwc6T1fBjA2zK25sCc+PP&#10;9G5Pu1gLDqGQo4Ymxj6XMlSNdRjmvrfE2tEPDiOvQy3NgGcOd51cKJVKhy3xhwZ7+9zY6ms3Og2Y&#10;rsz323H5un8ZU1zXk9o+fCqt7+8S9QQi2ilezXDBZ3QomengRzJBdBpmyTrjMpEV9bgAcbGov9OB&#10;p2W2AlkW8n+L8hdQSwMEFAAAAAgAh07iQFKzZ1SlAQAAJAMAAA4AAABkcnMvZTJvRG9jLnhtbK1S&#10;S24bMQzdF+gdBO3r+QQJ7IHHWTRwNkETIO0BZI00I0ASBUrx2KcpkF0P0eMUvUYpxXX62RXVQiJF&#10;8onvUevrg7NsrzAa8D1vFjVnyksYjB97/unj9t2Ss5iEH4QFr3p+VJFfb96+Wc+hUy1MYAeFjEB8&#10;7ObQ8yml0FVVlJNyIi4gKE9BDehEIhfHakAxE7qzVVvXV9UMOAQEqWKk25uXIN8UfK2VTPdaR5WY&#10;7Tn1lsqOZd/lvdqsRTeiCJORpzbEP3ThhPH06BnqRiTBntD8BeWMRIig00KCq0BrI1XhQGya+g82&#10;j5MIqnAhcWI4yxT/H6z8sH9AZoaeX3DmhaMRff/85dvXZ3aRtZlD7CjlMTzgyYtkZqIHjS6fRIEd&#10;ip7Hs57qkJiky2Xbrq5qkl1SrFktm7YIXr1WB4zpVoFj2eg50ryKjGJ/FxO9SKk/U/JjEawZtsba&#10;4uC4e2+R7QXNdltWbplKfkuzns09X122lwXZQ66nPNE5k1SmRRXW05HJvtDL1g6GI0nzFNCME/XW&#10;FPAcoVGUotO3ybP+1S9Ir5978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EM3oT2QAAAA0BAAAP&#10;AAAAAAAAAAEAIAAAACIAAABkcnMvZG93bnJldi54bWxQSwECFAAUAAAACACHTuJAUrNnVKUBAAAk&#10;AwAADgAAAAAAAAABACAAAAAoAQAAZHJzL2Uyb0RvYy54bWxQSwUGAAAAAAYABgBZAQAAPwUAAAAA&#10;">
              <v:fill on="t" focussize="0,0"/>
              <v:stroke on="f" joinstyle="miter"/>
              <v:imagedata o:title=""/>
              <o:lock v:ext="edit" aspectratio="f"/>
            </v:rect>
          </w:pict>
        </mc:Fallback>
      </mc:AlternateContent>
    </w:r>
    <w:r>
      <w:rPr>
        <w:noProof/>
      </w:rPr>
      <w:drawing>
        <wp:inline distT="0" distB="0" distL="0" distR="0">
          <wp:extent cx="6400800" cy="666750"/>
          <wp:effectExtent l="19050" t="0" r="0" b="0"/>
          <wp:docPr id="1" name="图片 1" descr="5空白文档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空白文档t"/>
                  <pic:cNvPicPr>
                    <a:picLocks noChangeAspect="1" noChangeArrowheads="1"/>
                  </pic:cNvPicPr>
                </pic:nvPicPr>
                <pic:blipFill>
                  <a:blip r:embed="rId1"/>
                  <a:srcRect/>
                  <a:stretch>
                    <a:fillRect/>
                  </a:stretch>
                </pic:blipFill>
                <pic:spPr>
                  <a:xfrm>
                    <a:off x="0" y="0"/>
                    <a:ext cx="6400800"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2980"/>
    <w:multiLevelType w:val="multilevel"/>
    <w:tmpl w:val="158B2980"/>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D8D0F33"/>
    <w:multiLevelType w:val="multilevel"/>
    <w:tmpl w:val="6D8D0F33"/>
    <w:lvl w:ilvl="0">
      <w:start w:val="1"/>
      <w:numFmt w:val="decimal"/>
      <w:lvlText w:val="%1."/>
      <w:lvlJc w:val="left"/>
      <w:pPr>
        <w:ind w:left="1080" w:hanging="360"/>
      </w:pPr>
      <w:rPr>
        <w:rFonts w:hint="default"/>
      </w:rPr>
    </w:lvl>
    <w:lvl w:ilvl="1" w:tentative="1">
      <w:start w:val="1"/>
      <w:numFmt w:val="lowerLetter"/>
      <w:lvlText w:val="%2)"/>
      <w:lvlJc w:val="left"/>
      <w:pPr>
        <w:ind w:left="1560" w:hanging="420"/>
      </w:pPr>
    </w:lvl>
    <w:lvl w:ilvl="2" w:tentative="1">
      <w:start w:val="1"/>
      <w:numFmt w:val="lowerRoman"/>
      <w:lvlText w:val="%3."/>
      <w:lvlJc w:val="right"/>
      <w:pPr>
        <w:ind w:left="1980" w:hanging="420"/>
      </w:pPr>
    </w:lvl>
    <w:lvl w:ilvl="3" w:tentative="1">
      <w:start w:val="1"/>
      <w:numFmt w:val="decimal"/>
      <w:lvlText w:val="%4."/>
      <w:lvlJc w:val="left"/>
      <w:pPr>
        <w:ind w:left="2400" w:hanging="420"/>
      </w:pPr>
    </w:lvl>
    <w:lvl w:ilvl="4" w:tentative="1">
      <w:start w:val="1"/>
      <w:numFmt w:val="lowerLetter"/>
      <w:lvlText w:val="%5)"/>
      <w:lvlJc w:val="left"/>
      <w:pPr>
        <w:ind w:left="2820" w:hanging="420"/>
      </w:pPr>
    </w:lvl>
    <w:lvl w:ilvl="5" w:tentative="1">
      <w:start w:val="1"/>
      <w:numFmt w:val="lowerRoman"/>
      <w:lvlText w:val="%6."/>
      <w:lvlJc w:val="right"/>
      <w:pPr>
        <w:ind w:left="3240" w:hanging="420"/>
      </w:pPr>
    </w:lvl>
    <w:lvl w:ilvl="6" w:tentative="1">
      <w:start w:val="1"/>
      <w:numFmt w:val="decimal"/>
      <w:lvlText w:val="%7."/>
      <w:lvlJc w:val="left"/>
      <w:pPr>
        <w:ind w:left="3660" w:hanging="420"/>
      </w:pPr>
    </w:lvl>
    <w:lvl w:ilvl="7" w:tentative="1">
      <w:start w:val="1"/>
      <w:numFmt w:val="lowerLetter"/>
      <w:lvlText w:val="%8)"/>
      <w:lvlJc w:val="left"/>
      <w:pPr>
        <w:ind w:left="4080" w:hanging="420"/>
      </w:pPr>
    </w:lvl>
    <w:lvl w:ilvl="8" w:tentative="1">
      <w:start w:val="1"/>
      <w:numFmt w:val="lowerRoman"/>
      <w:lvlText w:val="%9."/>
      <w:lvlJc w:val="right"/>
      <w:pPr>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79"/>
    <w:rsid w:val="000227EE"/>
    <w:rsid w:val="0003058B"/>
    <w:rsid w:val="00033AD8"/>
    <w:rsid w:val="00036C48"/>
    <w:rsid w:val="0004022F"/>
    <w:rsid w:val="00041AC2"/>
    <w:rsid w:val="00045767"/>
    <w:rsid w:val="00046500"/>
    <w:rsid w:val="0004695B"/>
    <w:rsid w:val="000518D1"/>
    <w:rsid w:val="000544CE"/>
    <w:rsid w:val="00054DAF"/>
    <w:rsid w:val="00056908"/>
    <w:rsid w:val="00057381"/>
    <w:rsid w:val="00061D9E"/>
    <w:rsid w:val="00086D18"/>
    <w:rsid w:val="000877A5"/>
    <w:rsid w:val="00095790"/>
    <w:rsid w:val="00095DF0"/>
    <w:rsid w:val="000A4211"/>
    <w:rsid w:val="000A544B"/>
    <w:rsid w:val="000A69DC"/>
    <w:rsid w:val="000B2DFE"/>
    <w:rsid w:val="000D345D"/>
    <w:rsid w:val="000D6F2D"/>
    <w:rsid w:val="000E5989"/>
    <w:rsid w:val="000F041E"/>
    <w:rsid w:val="0010593A"/>
    <w:rsid w:val="001243FF"/>
    <w:rsid w:val="0014459A"/>
    <w:rsid w:val="0015488D"/>
    <w:rsid w:val="001600AC"/>
    <w:rsid w:val="00167B4B"/>
    <w:rsid w:val="0019129A"/>
    <w:rsid w:val="001B0E65"/>
    <w:rsid w:val="001B237B"/>
    <w:rsid w:val="001B2CDD"/>
    <w:rsid w:val="001B4518"/>
    <w:rsid w:val="001B71B9"/>
    <w:rsid w:val="001D2C41"/>
    <w:rsid w:val="001D2ECB"/>
    <w:rsid w:val="001E4544"/>
    <w:rsid w:val="001E6BB5"/>
    <w:rsid w:val="001F3B72"/>
    <w:rsid w:val="001F56ED"/>
    <w:rsid w:val="001F771D"/>
    <w:rsid w:val="00204C07"/>
    <w:rsid w:val="002062E4"/>
    <w:rsid w:val="0022195F"/>
    <w:rsid w:val="00230BCE"/>
    <w:rsid w:val="00235334"/>
    <w:rsid w:val="002415A4"/>
    <w:rsid w:val="00244622"/>
    <w:rsid w:val="00252EA3"/>
    <w:rsid w:val="002630A6"/>
    <w:rsid w:val="00291A93"/>
    <w:rsid w:val="002A6E3D"/>
    <w:rsid w:val="002C4A7A"/>
    <w:rsid w:val="003055E4"/>
    <w:rsid w:val="003309A4"/>
    <w:rsid w:val="003309DB"/>
    <w:rsid w:val="00332290"/>
    <w:rsid w:val="00337E79"/>
    <w:rsid w:val="00340ECC"/>
    <w:rsid w:val="00354036"/>
    <w:rsid w:val="003618AF"/>
    <w:rsid w:val="00364EC3"/>
    <w:rsid w:val="0038464F"/>
    <w:rsid w:val="00390479"/>
    <w:rsid w:val="003B1A23"/>
    <w:rsid w:val="003B61D1"/>
    <w:rsid w:val="003B77C7"/>
    <w:rsid w:val="003E040C"/>
    <w:rsid w:val="003E7E86"/>
    <w:rsid w:val="003F4B50"/>
    <w:rsid w:val="00402500"/>
    <w:rsid w:val="00406AEF"/>
    <w:rsid w:val="00407693"/>
    <w:rsid w:val="00410EF1"/>
    <w:rsid w:val="00424548"/>
    <w:rsid w:val="00427A24"/>
    <w:rsid w:val="004344CC"/>
    <w:rsid w:val="004461A8"/>
    <w:rsid w:val="004624C8"/>
    <w:rsid w:val="004631D4"/>
    <w:rsid w:val="004761D6"/>
    <w:rsid w:val="004901CD"/>
    <w:rsid w:val="004A5D60"/>
    <w:rsid w:val="004B1A4F"/>
    <w:rsid w:val="004C51E4"/>
    <w:rsid w:val="0050144D"/>
    <w:rsid w:val="00514C8E"/>
    <w:rsid w:val="00585980"/>
    <w:rsid w:val="0058681A"/>
    <w:rsid w:val="0059032A"/>
    <w:rsid w:val="00590E54"/>
    <w:rsid w:val="00594B5C"/>
    <w:rsid w:val="005A2CA4"/>
    <w:rsid w:val="005C31A2"/>
    <w:rsid w:val="005C4810"/>
    <w:rsid w:val="005D19FA"/>
    <w:rsid w:val="005D338C"/>
    <w:rsid w:val="005D6156"/>
    <w:rsid w:val="005D6424"/>
    <w:rsid w:val="006007EC"/>
    <w:rsid w:val="00622D38"/>
    <w:rsid w:val="0064288C"/>
    <w:rsid w:val="00643879"/>
    <w:rsid w:val="00651CE3"/>
    <w:rsid w:val="00652DCD"/>
    <w:rsid w:val="00670A93"/>
    <w:rsid w:val="0067375B"/>
    <w:rsid w:val="0067380A"/>
    <w:rsid w:val="0069073A"/>
    <w:rsid w:val="006A3DCF"/>
    <w:rsid w:val="006A45BC"/>
    <w:rsid w:val="006B3DE0"/>
    <w:rsid w:val="006B75FB"/>
    <w:rsid w:val="006C6FF3"/>
    <w:rsid w:val="006F2467"/>
    <w:rsid w:val="007009CE"/>
    <w:rsid w:val="007050DF"/>
    <w:rsid w:val="00722F48"/>
    <w:rsid w:val="00723066"/>
    <w:rsid w:val="00737BE6"/>
    <w:rsid w:val="00744F59"/>
    <w:rsid w:val="00747BDF"/>
    <w:rsid w:val="007561DD"/>
    <w:rsid w:val="00757601"/>
    <w:rsid w:val="00763F90"/>
    <w:rsid w:val="00765A2C"/>
    <w:rsid w:val="007A0276"/>
    <w:rsid w:val="007A4E35"/>
    <w:rsid w:val="007E7139"/>
    <w:rsid w:val="007F3396"/>
    <w:rsid w:val="008078F5"/>
    <w:rsid w:val="00827D9A"/>
    <w:rsid w:val="00834484"/>
    <w:rsid w:val="008430B7"/>
    <w:rsid w:val="00853956"/>
    <w:rsid w:val="00861C3F"/>
    <w:rsid w:val="00874A24"/>
    <w:rsid w:val="00885C56"/>
    <w:rsid w:val="008A30E6"/>
    <w:rsid w:val="008A70A2"/>
    <w:rsid w:val="008C0884"/>
    <w:rsid w:val="008C3F52"/>
    <w:rsid w:val="008C7FDF"/>
    <w:rsid w:val="008D33AC"/>
    <w:rsid w:val="008D3BEB"/>
    <w:rsid w:val="008E4793"/>
    <w:rsid w:val="009003D9"/>
    <w:rsid w:val="00901B22"/>
    <w:rsid w:val="009048C2"/>
    <w:rsid w:val="00904D1B"/>
    <w:rsid w:val="009059B8"/>
    <w:rsid w:val="00920886"/>
    <w:rsid w:val="009235BB"/>
    <w:rsid w:val="0092742A"/>
    <w:rsid w:val="0095291D"/>
    <w:rsid w:val="009621A4"/>
    <w:rsid w:val="00972B10"/>
    <w:rsid w:val="0097629C"/>
    <w:rsid w:val="009817E6"/>
    <w:rsid w:val="009832DA"/>
    <w:rsid w:val="00985FE3"/>
    <w:rsid w:val="00997276"/>
    <w:rsid w:val="009A5C6A"/>
    <w:rsid w:val="009B608D"/>
    <w:rsid w:val="009D0F3D"/>
    <w:rsid w:val="009D13BB"/>
    <w:rsid w:val="009D2BB7"/>
    <w:rsid w:val="009E3DB0"/>
    <w:rsid w:val="009E7537"/>
    <w:rsid w:val="009E7B5A"/>
    <w:rsid w:val="009F3991"/>
    <w:rsid w:val="009F5C11"/>
    <w:rsid w:val="00A0797E"/>
    <w:rsid w:val="00A128EC"/>
    <w:rsid w:val="00A16522"/>
    <w:rsid w:val="00A176CE"/>
    <w:rsid w:val="00A209B5"/>
    <w:rsid w:val="00A22FD3"/>
    <w:rsid w:val="00A23927"/>
    <w:rsid w:val="00A26520"/>
    <w:rsid w:val="00A428AB"/>
    <w:rsid w:val="00A641B4"/>
    <w:rsid w:val="00A75C02"/>
    <w:rsid w:val="00A77ABD"/>
    <w:rsid w:val="00A96AE8"/>
    <w:rsid w:val="00AA7F2D"/>
    <w:rsid w:val="00AB4DE5"/>
    <w:rsid w:val="00AC18BA"/>
    <w:rsid w:val="00AE3361"/>
    <w:rsid w:val="00AF55B0"/>
    <w:rsid w:val="00B10649"/>
    <w:rsid w:val="00B52554"/>
    <w:rsid w:val="00B63CF4"/>
    <w:rsid w:val="00B677AD"/>
    <w:rsid w:val="00B767C2"/>
    <w:rsid w:val="00B8415C"/>
    <w:rsid w:val="00B85482"/>
    <w:rsid w:val="00B8665C"/>
    <w:rsid w:val="00BA22E6"/>
    <w:rsid w:val="00BA2D6A"/>
    <w:rsid w:val="00BB2DD1"/>
    <w:rsid w:val="00BC2F5C"/>
    <w:rsid w:val="00BC4DBF"/>
    <w:rsid w:val="00BD0DA1"/>
    <w:rsid w:val="00BF245C"/>
    <w:rsid w:val="00BF604E"/>
    <w:rsid w:val="00C061E6"/>
    <w:rsid w:val="00C10C39"/>
    <w:rsid w:val="00C1609B"/>
    <w:rsid w:val="00C203D1"/>
    <w:rsid w:val="00C23F59"/>
    <w:rsid w:val="00C265FE"/>
    <w:rsid w:val="00C30D8D"/>
    <w:rsid w:val="00C33299"/>
    <w:rsid w:val="00C437C7"/>
    <w:rsid w:val="00C4513B"/>
    <w:rsid w:val="00C66081"/>
    <w:rsid w:val="00C71F4C"/>
    <w:rsid w:val="00C7750C"/>
    <w:rsid w:val="00CA0437"/>
    <w:rsid w:val="00CA2710"/>
    <w:rsid w:val="00CA5DE5"/>
    <w:rsid w:val="00CC0480"/>
    <w:rsid w:val="00CC0A29"/>
    <w:rsid w:val="00CC1E98"/>
    <w:rsid w:val="00CC224D"/>
    <w:rsid w:val="00CD7C18"/>
    <w:rsid w:val="00CE7E96"/>
    <w:rsid w:val="00CF4BAB"/>
    <w:rsid w:val="00D264EE"/>
    <w:rsid w:val="00D35BDB"/>
    <w:rsid w:val="00D429A7"/>
    <w:rsid w:val="00D53608"/>
    <w:rsid w:val="00D5488B"/>
    <w:rsid w:val="00D564A1"/>
    <w:rsid w:val="00D6729D"/>
    <w:rsid w:val="00D72F6F"/>
    <w:rsid w:val="00D776EF"/>
    <w:rsid w:val="00D83724"/>
    <w:rsid w:val="00DA5B99"/>
    <w:rsid w:val="00DB40D3"/>
    <w:rsid w:val="00E05DBF"/>
    <w:rsid w:val="00E11A8D"/>
    <w:rsid w:val="00E31800"/>
    <w:rsid w:val="00E37A54"/>
    <w:rsid w:val="00E6106C"/>
    <w:rsid w:val="00E616DA"/>
    <w:rsid w:val="00E70577"/>
    <w:rsid w:val="00E9057A"/>
    <w:rsid w:val="00EA275D"/>
    <w:rsid w:val="00EB11E1"/>
    <w:rsid w:val="00EC620D"/>
    <w:rsid w:val="00EE6136"/>
    <w:rsid w:val="00EF2D0B"/>
    <w:rsid w:val="00EF2D49"/>
    <w:rsid w:val="00F060F8"/>
    <w:rsid w:val="00F06102"/>
    <w:rsid w:val="00F10E3A"/>
    <w:rsid w:val="00F242B6"/>
    <w:rsid w:val="00F27BC3"/>
    <w:rsid w:val="00F302B4"/>
    <w:rsid w:val="00F3444A"/>
    <w:rsid w:val="00F35D3D"/>
    <w:rsid w:val="00F46CE4"/>
    <w:rsid w:val="00F578B9"/>
    <w:rsid w:val="00F64F29"/>
    <w:rsid w:val="00F71F9E"/>
    <w:rsid w:val="00F72DCE"/>
    <w:rsid w:val="00F82D52"/>
    <w:rsid w:val="00F84F2B"/>
    <w:rsid w:val="00FA35BD"/>
    <w:rsid w:val="00FA7D1E"/>
    <w:rsid w:val="00FC7986"/>
    <w:rsid w:val="00FD02F2"/>
    <w:rsid w:val="00FD2560"/>
    <w:rsid w:val="00FE3DE3"/>
    <w:rsid w:val="00FF4B80"/>
    <w:rsid w:val="57D83F34"/>
    <w:rsid w:val="79BF0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semiHidden/>
    <w:rPr>
      <w:sz w:val="18"/>
      <w:szCs w:val="18"/>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Pr>
      <w:kern w:val="2"/>
      <w:sz w:val="18"/>
      <w:szCs w:val="18"/>
    </w:rPr>
  </w:style>
  <w:style w:type="paragraph" w:customStyle="1" w:styleId="1">
    <w:name w:val="列出段落1"/>
    <w:basedOn w:val="a"/>
    <w:uiPriority w:val="34"/>
    <w:qFormat/>
    <w:pPr>
      <w:ind w:firstLineChars="200" w:firstLine="420"/>
    </w:pPr>
  </w:style>
  <w:style w:type="paragraph" w:customStyle="1" w:styleId="listparagraph">
    <w:name w:val="listparagraph"/>
    <w:basedOn w:val="a"/>
    <w:pPr>
      <w:widowControl/>
      <w:spacing w:before="100" w:beforeAutospacing="1" w:after="100" w:afterAutospacing="1"/>
      <w:jc w:val="left"/>
    </w:pPr>
    <w:rPr>
      <w:rFonts w:ascii="宋体" w:hAnsi="宋体" w:cs="宋体"/>
      <w:kern w:val="0"/>
      <w:sz w:val="24"/>
    </w:rPr>
  </w:style>
  <w:style w:type="character" w:styleId="a8">
    <w:name w:val="annotation reference"/>
    <w:basedOn w:val="a0"/>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semiHidden/>
    <w:rPr>
      <w:sz w:val="18"/>
      <w:szCs w:val="18"/>
    </w:rPr>
  </w:style>
  <w:style w:type="paragraph" w:styleId="a5">
    <w:name w:val="footer"/>
    <w:basedOn w:val="a"/>
    <w:link w:val="Char"/>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basedOn w:val="a0"/>
    <w:link w:val="a5"/>
    <w:rPr>
      <w:kern w:val="2"/>
      <w:sz w:val="18"/>
      <w:szCs w:val="18"/>
    </w:rPr>
  </w:style>
  <w:style w:type="paragraph" w:customStyle="1" w:styleId="1">
    <w:name w:val="列出段落1"/>
    <w:basedOn w:val="a"/>
    <w:uiPriority w:val="34"/>
    <w:qFormat/>
    <w:pPr>
      <w:ind w:firstLineChars="200" w:firstLine="420"/>
    </w:pPr>
  </w:style>
  <w:style w:type="paragraph" w:customStyle="1" w:styleId="listparagraph">
    <w:name w:val="listparagraph"/>
    <w:basedOn w:val="a"/>
    <w:pPr>
      <w:widowControl/>
      <w:spacing w:before="100" w:beforeAutospacing="1" w:after="100" w:afterAutospacing="1"/>
      <w:jc w:val="left"/>
    </w:pPr>
    <w:rPr>
      <w:rFonts w:ascii="宋体" w:hAnsi="宋体" w:cs="宋体"/>
      <w:kern w:val="0"/>
      <w:sz w:val="24"/>
    </w:rPr>
  </w:style>
  <w:style w:type="character" w:styleId="a8">
    <w:name w:val="annotation reference"/>
    <w:basedOn w:val="a0"/>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001110\Local%20Settings\Temporary%20Internet%20Files\Content.IE5\UDQBM6T4\&#31354;&#30333;&#35268;&#33539;&#25991;&#26412;%5b1%5d.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EAD3C-8EBE-4D40-8AA3-E87222B6B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空白规范文本[1]</Template>
  <TotalTime>0</TotalTime>
  <Pages>3</Pages>
  <Words>161</Words>
  <Characters>923</Characters>
  <Application>Microsoft Office Word</Application>
  <DocSecurity>0</DocSecurity>
  <Lines>7</Lines>
  <Paragraphs>2</Paragraphs>
  <ScaleCrop>false</ScaleCrop>
  <Company>user</Company>
  <LinksUpToDate>false</LinksUpToDate>
  <CharactersWithSpaces>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dc:creator>
  <cp:lastModifiedBy>admin</cp:lastModifiedBy>
  <cp:revision>8</cp:revision>
  <cp:lastPrinted>2011-04-28T03:19:00Z</cp:lastPrinted>
  <dcterms:created xsi:type="dcterms:W3CDTF">2015-12-01T03:16:00Z</dcterms:created>
  <dcterms:modified xsi:type="dcterms:W3CDTF">2015-12-03T06:32:00Z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