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13"/>
        <w:jc w:val="center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fldChar w:fldCharType="begin"/>
      </w:r>
      <w:r>
        <w:rPr>
          <w:rFonts w:hint="eastAsia"/>
          <w:b/>
          <w:color w:val="000000"/>
          <w:sz w:val="24"/>
        </w:rPr>
        <w:instrText xml:space="preserve">HYPERLINK "javascript:void(0);"</w:instrText>
      </w:r>
      <w:r>
        <w:rPr>
          <w:rFonts w:hint="eastAsia"/>
          <w:b/>
          <w:color w:val="000000"/>
          <w:sz w:val="24"/>
        </w:rPr>
        <w:fldChar w:fldCharType="separate"/>
      </w:r>
      <w:r>
        <w:rPr>
          <w:rFonts w:hint="eastAsia"/>
          <w:b/>
          <w:color w:val="000000"/>
          <w:sz w:val="24"/>
        </w:rPr>
        <w:t>中融-隆晟1号结构化集合资金</w:t>
      </w:r>
      <w:r>
        <w:rPr>
          <w:rFonts w:hint="eastAsia"/>
          <w:b/>
          <w:color w:val="000000"/>
          <w:sz w:val="24"/>
        </w:rPr>
        <w:fldChar w:fldCharType="end"/>
      </w:r>
      <w:r>
        <w:rPr>
          <w:b/>
          <w:color w:val="000000"/>
          <w:sz w:val="24"/>
        </w:rPr>
        <w:t>信托计划</w:t>
      </w:r>
      <w:r>
        <w:rPr>
          <w:rFonts w:hint="eastAsia"/>
          <w:b/>
          <w:color w:val="000000"/>
          <w:sz w:val="24"/>
        </w:rPr>
        <w:t xml:space="preserve"> A1、A2、A3、A4、B4、A5、A6、A10、A11、A12、A13、A16、A17和A18类优先级信托单位</w:t>
      </w:r>
    </w:p>
    <w:p>
      <w:pPr>
        <w:pStyle w:val="13"/>
        <w:jc w:val="center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年化预期收益率调整公告</w:t>
      </w:r>
    </w:p>
    <w:p>
      <w:pPr>
        <w:pStyle w:val="10"/>
        <w:widowControl w:val="0"/>
        <w:autoSpaceDE w:val="0"/>
        <w:autoSpaceDN w:val="0"/>
        <w:spacing w:line="560" w:lineRule="exact"/>
        <w:rPr>
          <w:rFonts w:hint="eastAsia"/>
          <w:b/>
          <w:bCs/>
          <w:sz w:val="30"/>
          <w:szCs w:val="30"/>
        </w:rPr>
      </w:pPr>
    </w:p>
    <w:p>
      <w:pPr>
        <w:pStyle w:val="13"/>
        <w:jc w:val="left"/>
        <w:rPr>
          <w:rFonts w:ascii="宋体" w:hAnsi="宋体"/>
          <w:color w:val="000000"/>
          <w:sz w:val="18"/>
        </w:rPr>
      </w:pPr>
      <w:r>
        <w:rPr>
          <w:rFonts w:ascii="宋体" w:hAnsi="宋体"/>
          <w:color w:val="000000"/>
          <w:sz w:val="18"/>
        </w:rPr>
        <w:t xml:space="preserve">尊敬的投资者： </w:t>
      </w:r>
      <w:r>
        <w:rPr>
          <w:rFonts w:ascii="宋体" w:hAnsi="宋体"/>
          <w:color w:val="000000"/>
          <w:sz w:val="18"/>
        </w:rPr>
        <w:br w:type="textWrapping"/>
      </w:r>
      <w:r>
        <w:rPr>
          <w:rFonts w:hint="eastAsia" w:ascii="宋体" w:hAnsi="宋体"/>
          <w:color w:val="000000"/>
          <w:sz w:val="18"/>
        </w:rPr>
        <w:t xml:space="preserve">    </w:t>
      </w:r>
      <w:r>
        <w:rPr>
          <w:rFonts w:ascii="宋体" w:hAnsi="宋体"/>
          <w:color w:val="000000"/>
          <w:sz w:val="18"/>
        </w:rPr>
        <w:t xml:space="preserve"> </w:t>
      </w:r>
      <w:r>
        <w:rPr>
          <w:rFonts w:hint="eastAsia" w:ascii="宋体" w:hAnsi="宋体"/>
          <w:color w:val="000000"/>
          <w:sz w:val="18"/>
        </w:rPr>
        <w:t>根据“</w:t>
      </w:r>
      <w:r>
        <w:fldChar w:fldCharType="begin"/>
      </w:r>
      <w:r>
        <w:instrText xml:space="preserve">HYPERLINK "javascript:void(0);" </w:instrText>
      </w:r>
      <w:r>
        <w:fldChar w:fldCharType="separate"/>
      </w:r>
      <w:r>
        <w:rPr>
          <w:rFonts w:hint="eastAsia" w:ascii="宋体" w:hAnsi="宋体"/>
          <w:color w:val="000000"/>
          <w:sz w:val="18"/>
        </w:rPr>
        <w:t>中融-隆晟1号结构化集合资金</w:t>
      </w:r>
      <w:r>
        <w:fldChar w:fldCharType="end"/>
      </w:r>
      <w:r>
        <w:rPr>
          <w:rFonts w:hint="eastAsia" w:ascii="宋体" w:hAnsi="宋体"/>
          <w:color w:val="000000"/>
          <w:sz w:val="18"/>
        </w:rPr>
        <w:t>信托计划”信托文件相关约定</w:t>
      </w:r>
      <w:r>
        <w:rPr>
          <w:rFonts w:ascii="宋体" w:hAnsi="宋体"/>
          <w:color w:val="000000"/>
          <w:sz w:val="18"/>
        </w:rPr>
        <w:t>，自201</w:t>
      </w:r>
      <w:r>
        <w:rPr>
          <w:rFonts w:hint="eastAsia" w:ascii="宋体" w:hAnsi="宋体"/>
          <w:color w:val="000000"/>
          <w:sz w:val="18"/>
          <w:lang w:val="en-US" w:eastAsia="zh-CN"/>
        </w:rPr>
        <w:t>6</w:t>
      </w:r>
      <w:r>
        <w:rPr>
          <w:rFonts w:ascii="宋体" w:hAnsi="宋体"/>
          <w:color w:val="000000"/>
          <w:sz w:val="18"/>
        </w:rPr>
        <w:t>年</w:t>
      </w:r>
      <w:r>
        <w:rPr>
          <w:rFonts w:hint="eastAsia" w:ascii="宋体" w:hAnsi="宋体"/>
          <w:color w:val="000000"/>
          <w:sz w:val="18"/>
          <w:lang w:val="en-US" w:eastAsia="zh-CN"/>
        </w:rPr>
        <w:t>2</w:t>
      </w:r>
      <w:r>
        <w:rPr>
          <w:rFonts w:ascii="宋体" w:hAnsi="宋体"/>
          <w:color w:val="000000"/>
          <w:sz w:val="18"/>
        </w:rPr>
        <w:t>月</w:t>
      </w:r>
      <w:r>
        <w:rPr>
          <w:rFonts w:hint="eastAsia" w:ascii="宋体" w:hAnsi="宋体"/>
          <w:color w:val="000000"/>
          <w:sz w:val="18"/>
          <w:lang w:val="en-US" w:eastAsia="zh-CN"/>
        </w:rPr>
        <w:t>1</w:t>
      </w:r>
      <w:r>
        <w:rPr>
          <w:rFonts w:ascii="宋体" w:hAnsi="宋体"/>
          <w:color w:val="000000"/>
          <w:sz w:val="18"/>
        </w:rPr>
        <w:t>日起</w:t>
      </w:r>
      <w:r>
        <w:rPr>
          <w:rFonts w:hint="eastAsia" w:ascii="宋体" w:hAnsi="宋体"/>
          <w:color w:val="000000"/>
          <w:sz w:val="18"/>
        </w:rPr>
        <w:t>，</w:t>
      </w:r>
      <w:r>
        <w:rPr>
          <w:rFonts w:ascii="宋体" w:hAnsi="宋体"/>
          <w:color w:val="000000"/>
          <w:sz w:val="18"/>
        </w:rPr>
        <w:t>本信托计划A1、A2、A3、A4、B4、A5、A6、A10、A11、A12</w:t>
      </w:r>
      <w:r>
        <w:rPr>
          <w:rFonts w:hint="eastAsia" w:ascii="宋体" w:hAnsi="宋体"/>
          <w:color w:val="000000"/>
          <w:sz w:val="18"/>
        </w:rPr>
        <w:t>、</w:t>
      </w:r>
      <w:r>
        <w:rPr>
          <w:rFonts w:ascii="宋体" w:hAnsi="宋体"/>
          <w:color w:val="000000"/>
          <w:sz w:val="18"/>
        </w:rPr>
        <w:t>A13</w:t>
      </w:r>
      <w:r>
        <w:rPr>
          <w:rFonts w:hint="eastAsia" w:ascii="宋体" w:hAnsi="宋体"/>
          <w:color w:val="000000"/>
          <w:sz w:val="18"/>
        </w:rPr>
        <w:t>、A16、A17和A18类优先级受益人</w:t>
      </w:r>
      <w:r>
        <w:rPr>
          <w:rFonts w:ascii="宋体" w:hAnsi="宋体"/>
          <w:color w:val="000000"/>
          <w:sz w:val="18"/>
        </w:rPr>
        <w:t>在</w:t>
      </w:r>
      <w:r>
        <w:rPr>
          <w:rFonts w:hint="eastAsia" w:ascii="宋体" w:hAnsi="宋体"/>
          <w:color w:val="000000"/>
          <w:sz w:val="18"/>
        </w:rPr>
        <w:t>该类</w:t>
      </w:r>
      <w:r>
        <w:rPr>
          <w:rFonts w:ascii="宋体" w:hAnsi="宋体"/>
          <w:color w:val="000000"/>
          <w:sz w:val="18"/>
        </w:rPr>
        <w:t>优先级信托单位赎回开放日持有的符合赎回条件但未申请赎回的</w:t>
      </w:r>
      <w:r>
        <w:rPr>
          <w:rFonts w:hint="eastAsia" w:ascii="宋体" w:hAnsi="宋体"/>
          <w:color w:val="000000"/>
          <w:sz w:val="18"/>
        </w:rPr>
        <w:t>优先级</w:t>
      </w:r>
      <w:r>
        <w:rPr>
          <w:rFonts w:ascii="宋体" w:hAnsi="宋体"/>
          <w:color w:val="000000"/>
          <w:sz w:val="18"/>
        </w:rPr>
        <w:t>信托单位</w:t>
      </w:r>
      <w:r>
        <w:rPr>
          <w:rFonts w:hint="eastAsia" w:ascii="宋体" w:hAnsi="宋体"/>
          <w:color w:val="000000"/>
          <w:sz w:val="18"/>
        </w:rPr>
        <w:t>在该赎回开放日后</w:t>
      </w:r>
      <w:r>
        <w:rPr>
          <w:rFonts w:ascii="宋体" w:hAnsi="宋体"/>
          <w:color w:val="000000"/>
          <w:sz w:val="18"/>
        </w:rPr>
        <w:t>的年化预期收益率</w:t>
      </w:r>
      <w:r>
        <w:rPr>
          <w:rFonts w:hint="eastAsia" w:ascii="宋体" w:hAnsi="宋体"/>
          <w:color w:val="000000"/>
          <w:sz w:val="18"/>
        </w:rPr>
        <w:t>进行</w:t>
      </w:r>
      <w:r>
        <w:rPr>
          <w:rFonts w:ascii="宋体" w:hAnsi="宋体"/>
          <w:color w:val="000000"/>
          <w:sz w:val="18"/>
        </w:rPr>
        <w:t>如下调整：</w:t>
      </w:r>
    </w:p>
    <w:p>
      <w:pPr>
        <w:autoSpaceDE w:val="0"/>
        <w:autoSpaceDN w:val="0"/>
        <w:spacing w:line="560" w:lineRule="exact"/>
        <w:ind w:firstLine="360" w:firstLineChars="200"/>
        <w:jc w:val="left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18"/>
        </w:rPr>
        <w:t>原</w:t>
      </w:r>
      <w:r>
        <w:rPr>
          <w:rFonts w:ascii="宋体" w:hAnsi="宋体"/>
          <w:color w:val="000000"/>
          <w:sz w:val="18"/>
        </w:rPr>
        <w:t>各类优先受益人</w:t>
      </w:r>
      <w:r>
        <w:rPr>
          <w:rFonts w:hint="eastAsia" w:ascii="宋体" w:hAnsi="宋体"/>
          <w:color w:val="000000"/>
          <w:sz w:val="18"/>
        </w:rPr>
        <w:t>年化预期收益率为</w:t>
      </w:r>
      <w:r>
        <w:rPr>
          <w:rFonts w:ascii="宋体" w:hAnsi="宋体"/>
          <w:color w:val="000000"/>
          <w:sz w:val="18"/>
          <w:szCs w:val="20"/>
          <w:lang w:bidi="ar-SA"/>
        </w:rPr>
        <w:t>：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366"/>
        <w:gridCol w:w="2351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优先级信托单位类型</w:t>
            </w:r>
          </w:p>
        </w:tc>
        <w:tc>
          <w:tcPr>
            <w:tcW w:w="4717" w:type="dxa"/>
            <w:gridSpan w:val="2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年化预期基础收益率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年化预期附加收益率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300万元～1000万元（不含）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1000万元(含)以上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A1类-12个月期</w:t>
            </w: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7.4%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7.9%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0.60%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</w:t>
      </w:r>
    </w:p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366"/>
        <w:gridCol w:w="2351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优先级信托单位类型</w:t>
            </w:r>
          </w:p>
        </w:tc>
        <w:tc>
          <w:tcPr>
            <w:tcW w:w="4717" w:type="dxa"/>
            <w:gridSpan w:val="2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年化预期基础收益率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年化预期附加收益率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300万元～1000万元（不含）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1000万元(含)以上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A2类-12个月期</w:t>
            </w: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7.4%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7.9%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0.60%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   </w:t>
      </w:r>
    </w:p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366"/>
        <w:gridCol w:w="2351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优先级信托单位类型</w:t>
            </w:r>
          </w:p>
        </w:tc>
        <w:tc>
          <w:tcPr>
            <w:tcW w:w="4717" w:type="dxa"/>
            <w:gridSpan w:val="2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年化预期基础收益率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年化预期附加收益率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300万元～1000万元（不含）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1000万元(含)以上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A3类-12个月期</w:t>
            </w: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7.4%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7.9%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0.60%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   </w:t>
      </w:r>
    </w:p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366"/>
        <w:gridCol w:w="2351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优先级信托单位类型</w:t>
            </w:r>
          </w:p>
        </w:tc>
        <w:tc>
          <w:tcPr>
            <w:tcW w:w="4717" w:type="dxa"/>
            <w:gridSpan w:val="2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年化预期基础收益率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年化预期附加收益率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300万元～1000万元（不含）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1000万元(含)以上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A4类-12个月期</w:t>
            </w: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7.4%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7.9%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A4类-24个月期</w:t>
            </w: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7.9%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8.4%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0.60%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         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6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（含）</w:t>
            </w:r>
            <w:r>
              <w:rPr>
                <w:rFonts w:hint="eastAsia" w:ascii="宋体" w:hAnsi="宋体"/>
                <w:color w:val="000000"/>
                <w:sz w:val="1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B4类</w:t>
            </w:r>
          </w:p>
        </w:tc>
        <w:tc>
          <w:tcPr>
            <w:tcW w:w="67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9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96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A5类-12个月期</w:t>
            </w: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A5类-24个月期</w:t>
            </w: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8.5%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9%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 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96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A6类-12个月期</w:t>
            </w: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A6类-24个月期</w:t>
            </w: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8.5%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9%</w:t>
            </w:r>
          </w:p>
        </w:tc>
      </w:tr>
    </w:tbl>
    <w:p>
      <w:pPr>
        <w:pStyle w:val="8"/>
        <w:autoSpaceDN w:val="0"/>
        <w:spacing w:line="420" w:lineRule="atLeast"/>
        <w:rPr>
          <w:rFonts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                   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A10类-12个月期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A10类-18个月期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9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A10类-24个月期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9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pStyle w:val="10"/>
        <w:widowControl w:val="0"/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6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A11类-24个月期</w:t>
            </w:r>
          </w:p>
        </w:tc>
        <w:tc>
          <w:tcPr>
            <w:tcW w:w="67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9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pStyle w:val="10"/>
        <w:widowControl w:val="0"/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A12类-12个月期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A12类-18个月期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9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pStyle w:val="10"/>
        <w:widowControl w:val="0"/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A13类-12个月期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A13类-18个月期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9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/>
    </w:p>
    <w:tbl>
      <w:tblPr>
        <w:tblStyle w:val="7"/>
        <w:tblpPr w:leftFromText="180" w:rightFromText="180" w:vertAnchor="text" w:horzAnchor="page" w:tblpX="1777" w:tblpY="331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A16类-12个月期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</w:p>
    <w:p>
      <w:pPr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A17类-12个月期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A18类-6个月期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6.8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A18类-9个月期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7.4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7.7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A18类-12个月期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7.7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8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</w:p>
    <w:p>
      <w:pPr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                                  </w:t>
      </w:r>
      <w:r>
        <w:rPr>
          <w:rFonts w:hint="eastAsia" w:ascii="宋体" w:hAnsi="宋体"/>
          <w:color w:val="000000"/>
          <w:sz w:val="18"/>
        </w:rPr>
        <w:br w:type="page"/>
      </w:r>
    </w:p>
    <w:p>
      <w:pPr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                                            </w:t>
      </w:r>
    </w:p>
    <w:p>
      <w:pPr>
        <w:autoSpaceDE w:val="0"/>
        <w:autoSpaceDN w:val="0"/>
        <w:spacing w:line="560" w:lineRule="exact"/>
        <w:jc w:val="left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</w:t>
      </w:r>
      <w:r>
        <w:rPr>
          <w:rFonts w:hint="eastAsia" w:ascii="宋体" w:hAnsi="宋体"/>
          <w:color w:val="000000"/>
          <w:sz w:val="18"/>
          <w:szCs w:val="20"/>
          <w:lang w:bidi="ar-SA"/>
        </w:rPr>
        <w:t>调整后</w:t>
      </w:r>
      <w:r>
        <w:rPr>
          <w:rFonts w:ascii="宋体" w:hAnsi="宋体"/>
          <w:color w:val="000000"/>
          <w:sz w:val="18"/>
          <w:szCs w:val="20"/>
          <w:lang w:bidi="ar-SA"/>
        </w:rPr>
        <w:t>各类优先受益人</w:t>
      </w:r>
      <w:r>
        <w:rPr>
          <w:rFonts w:hint="eastAsia" w:ascii="宋体" w:hAnsi="宋体"/>
          <w:color w:val="000000"/>
          <w:sz w:val="18"/>
          <w:szCs w:val="20"/>
          <w:lang w:bidi="ar-SA"/>
        </w:rPr>
        <w:t>年化预期收益率为</w:t>
      </w:r>
      <w:r>
        <w:rPr>
          <w:rFonts w:ascii="宋体" w:hAnsi="宋体"/>
          <w:color w:val="000000"/>
          <w:sz w:val="18"/>
          <w:szCs w:val="20"/>
          <w:lang w:bidi="ar-SA"/>
        </w:rPr>
        <w:t>：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366"/>
        <w:gridCol w:w="2351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优先级信托单位类型</w:t>
            </w:r>
          </w:p>
        </w:tc>
        <w:tc>
          <w:tcPr>
            <w:tcW w:w="4717" w:type="dxa"/>
            <w:gridSpan w:val="2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年化预期基础收益率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年化预期附加收益率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300万元～1000万元（不含）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1000万元(含)以上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A1类-12个月期</w:t>
            </w: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6.6%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6.9%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0.60%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</w:t>
      </w:r>
    </w:p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366"/>
        <w:gridCol w:w="2351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优先级信托单位类型</w:t>
            </w:r>
          </w:p>
        </w:tc>
        <w:tc>
          <w:tcPr>
            <w:tcW w:w="4717" w:type="dxa"/>
            <w:gridSpan w:val="2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年化预期基础收益率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年化预期附加收益率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300万元～1000万元（不含）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1000万元(含)以上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A2类-12个月期</w:t>
            </w: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6.6%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6.9%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0.60%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   </w:t>
      </w:r>
    </w:p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366"/>
        <w:gridCol w:w="2351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优先级信托单位类型</w:t>
            </w:r>
          </w:p>
        </w:tc>
        <w:tc>
          <w:tcPr>
            <w:tcW w:w="4717" w:type="dxa"/>
            <w:gridSpan w:val="2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年化预期基础收益率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年化预期附加收益率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300万元～1000万元（不含）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1000万元(含)以上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A3类-12个月期</w:t>
            </w: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6.6%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6.9%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0.60%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   </w:t>
      </w:r>
    </w:p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366"/>
        <w:gridCol w:w="2351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优先级信托单位类型</w:t>
            </w:r>
          </w:p>
        </w:tc>
        <w:tc>
          <w:tcPr>
            <w:tcW w:w="4717" w:type="dxa"/>
            <w:gridSpan w:val="2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年化预期基础收益率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年化预期附加收益率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300万元～1000万元（不含）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1000万元(含)以上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A4类-12个月期</w:t>
            </w: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6.6%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6.9%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A4类-24个月期</w:t>
            </w:r>
          </w:p>
        </w:tc>
        <w:tc>
          <w:tcPr>
            <w:tcW w:w="23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6.6%</w:t>
            </w:r>
          </w:p>
        </w:tc>
        <w:tc>
          <w:tcPr>
            <w:tcW w:w="2351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6.9%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0.60%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  </w:t>
      </w:r>
    </w:p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 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6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（含）</w:t>
            </w:r>
            <w:r>
              <w:rPr>
                <w:rFonts w:hint="eastAsia" w:ascii="宋体" w:hAnsi="宋体"/>
                <w:color w:val="000000"/>
                <w:sz w:val="1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B4类</w:t>
            </w:r>
          </w:p>
        </w:tc>
        <w:tc>
          <w:tcPr>
            <w:tcW w:w="67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96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A5类-12个月期</w:t>
            </w: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A5类-24个月期</w:t>
            </w: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7.2%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7.5%</w:t>
            </w:r>
          </w:p>
        </w:tc>
      </w:tr>
    </w:tbl>
    <w:p>
      <w:pPr>
        <w:pStyle w:val="8"/>
        <w:autoSpaceDN w:val="0"/>
        <w:spacing w:line="420" w:lineRule="atLeast"/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 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96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A6类-12个月期</w:t>
            </w: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A6类-24个月期</w:t>
            </w:r>
          </w:p>
        </w:tc>
        <w:tc>
          <w:tcPr>
            <w:tcW w:w="339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7.2%</w:t>
            </w:r>
          </w:p>
        </w:tc>
        <w:tc>
          <w:tcPr>
            <w:tcW w:w="3370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7.5%</w:t>
            </w:r>
          </w:p>
        </w:tc>
      </w:tr>
    </w:tbl>
    <w:p>
      <w:pPr>
        <w:pStyle w:val="8"/>
        <w:autoSpaceDN w:val="0"/>
        <w:spacing w:line="420" w:lineRule="atLeast"/>
        <w:rPr>
          <w:rFonts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 xml:space="preserve">                         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A10类-12个月期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A10类-18个月期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A10类-24个月期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7.5%</w:t>
            </w:r>
          </w:p>
        </w:tc>
      </w:tr>
    </w:tbl>
    <w:p>
      <w:pPr>
        <w:pStyle w:val="10"/>
        <w:widowControl w:val="0"/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6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67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A11类-24个月期</w:t>
            </w:r>
          </w:p>
        </w:tc>
        <w:tc>
          <w:tcPr>
            <w:tcW w:w="676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pStyle w:val="10"/>
        <w:widowControl w:val="0"/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A12类-12个月期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A12类-18个月期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7.5%</w:t>
            </w:r>
          </w:p>
        </w:tc>
      </w:tr>
    </w:tbl>
    <w:p>
      <w:pPr>
        <w:pStyle w:val="10"/>
        <w:widowControl w:val="0"/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A13类-12个月期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A13类-18个月期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7.5%</w:t>
            </w:r>
          </w:p>
        </w:tc>
      </w:tr>
    </w:tbl>
    <w:p>
      <w:pPr>
        <w:pStyle w:val="10"/>
        <w:widowControl w:val="0"/>
        <w:autoSpaceDE w:val="0"/>
        <w:autoSpaceDN w:val="0"/>
        <w:spacing w:line="560" w:lineRule="exact"/>
        <w:jc w:val="left"/>
        <w:rPr>
          <w:rFonts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28"/>
        </w:rPr>
        <w:t xml:space="preserve">                     </w:t>
      </w: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A16类-12个月期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autoSpaceDE w:val="0"/>
        <w:autoSpaceDN w:val="0"/>
        <w:spacing w:line="560" w:lineRule="exact"/>
        <w:jc w:val="left"/>
        <w:rPr>
          <w:rFonts w:ascii="宋体" w:hAnsi="宋体"/>
          <w:color w:val="000000"/>
          <w:sz w:val="18"/>
        </w:rPr>
      </w:pP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A17类-12个月期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autoSpaceDE w:val="0"/>
        <w:autoSpaceDN w:val="0"/>
        <w:spacing w:line="560" w:lineRule="exact"/>
        <w:jc w:val="left"/>
        <w:rPr>
          <w:rFonts w:hint="eastAsia" w:ascii="宋体" w:hAnsi="宋体"/>
          <w:color w:val="000000"/>
          <w:sz w:val="18"/>
        </w:rPr>
      </w:pPr>
    </w:p>
    <w:tbl>
      <w:tblPr>
        <w:tblStyle w:val="7"/>
        <w:tblpPr w:leftFromText="180" w:rightFromText="180" w:vertAnchor="text" w:horzAnchor="page" w:tblpX="1807" w:tblpY="3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69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优先级</w:t>
            </w:r>
            <w:r>
              <w:rPr>
                <w:rFonts w:ascii="宋体" w:hAnsi="宋体"/>
                <w:color w:val="000000"/>
                <w:sz w:val="18"/>
              </w:rPr>
              <w:t>信托单位</w:t>
            </w:r>
          </w:p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类型</w:t>
            </w: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年化预期收益率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/>
                <w:color w:val="000000"/>
                <w:sz w:val="18"/>
              </w:rPr>
              <w:t>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～1000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（不含）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1000</w:t>
            </w:r>
            <w:r>
              <w:rPr>
                <w:rFonts w:hint="eastAsia" w:ascii="宋体" w:hAnsi="宋体"/>
                <w:color w:val="000000"/>
                <w:sz w:val="18"/>
              </w:rPr>
              <w:t>万元</w:t>
            </w:r>
            <w:r>
              <w:rPr>
                <w:rFonts w:ascii="宋体" w:hAnsi="宋体"/>
                <w:color w:val="000000"/>
                <w:sz w:val="18"/>
              </w:rPr>
              <w:t>(含)以上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A18类-6个月期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6.7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6.9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A18类-9个月期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6.9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56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A18类-12个月期</w:t>
            </w:r>
          </w:p>
        </w:tc>
        <w:tc>
          <w:tcPr>
            <w:tcW w:w="3369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7.2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  <w:tc>
          <w:tcPr>
            <w:tcW w:w="3397" w:type="dxa"/>
            <w:vAlign w:val="center"/>
          </w:tcPr>
          <w:p>
            <w:pPr>
              <w:pStyle w:val="8"/>
              <w:autoSpaceDN w:val="0"/>
              <w:spacing w:line="420" w:lineRule="atLeas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7.5</w:t>
            </w:r>
            <w:r>
              <w:rPr>
                <w:rFonts w:ascii="宋体" w:hAnsi="宋体"/>
                <w:color w:val="000000"/>
                <w:sz w:val="18"/>
              </w:rPr>
              <w:t>%</w:t>
            </w:r>
          </w:p>
        </w:tc>
      </w:tr>
    </w:tbl>
    <w:p>
      <w:pPr>
        <w:autoSpaceDE w:val="0"/>
        <w:autoSpaceDN w:val="0"/>
        <w:spacing w:line="560" w:lineRule="exact"/>
        <w:jc w:val="left"/>
        <w:rPr>
          <w:rFonts w:ascii="宋体" w:hAnsi="宋体"/>
          <w:color w:val="000000"/>
          <w:sz w:val="18"/>
        </w:rPr>
      </w:pPr>
    </w:p>
    <w:p>
      <w:pPr>
        <w:pStyle w:val="10"/>
        <w:widowControl w:val="0"/>
        <w:autoSpaceDE w:val="0"/>
        <w:autoSpaceDN w:val="0"/>
        <w:spacing w:line="560" w:lineRule="exact"/>
        <w:ind w:firstLine="360" w:firstLineChars="200"/>
        <w:jc w:val="left"/>
        <w:rPr>
          <w:rFonts w:hint="eastAsia" w:ascii="宋体" w:hAnsi="宋体"/>
          <w:color w:val="000000"/>
          <w:kern w:val="2"/>
          <w:sz w:val="18"/>
          <w:lang w:bidi="ar-SA"/>
        </w:rPr>
      </w:pPr>
      <w:r>
        <w:rPr>
          <w:rFonts w:hint="eastAsia" w:ascii="宋体" w:hAnsi="宋体"/>
          <w:color w:val="000000"/>
          <w:kern w:val="2"/>
          <w:sz w:val="18"/>
          <w:lang w:bidi="ar-SA"/>
        </w:rPr>
        <w:t xml:space="preserve">特此公告！ </w:t>
      </w:r>
    </w:p>
    <w:p>
      <w:pPr>
        <w:pStyle w:val="10"/>
        <w:widowControl w:val="0"/>
        <w:autoSpaceDE w:val="0"/>
        <w:autoSpaceDN w:val="0"/>
        <w:spacing w:line="560" w:lineRule="exact"/>
        <w:ind w:firstLine="360" w:firstLineChars="200"/>
        <w:jc w:val="left"/>
        <w:rPr>
          <w:rFonts w:hint="eastAsia" w:ascii="宋体" w:hAnsi="宋体"/>
          <w:color w:val="000000"/>
          <w:kern w:val="2"/>
          <w:sz w:val="18"/>
          <w:lang w:bidi="ar-SA"/>
        </w:rPr>
      </w:pPr>
    </w:p>
    <w:p>
      <w:pPr>
        <w:pStyle w:val="10"/>
        <w:widowControl w:val="0"/>
        <w:autoSpaceDE w:val="0"/>
        <w:autoSpaceDN w:val="0"/>
        <w:spacing w:line="560" w:lineRule="exact"/>
        <w:ind w:firstLine="540" w:firstLineChars="300"/>
        <w:jc w:val="right"/>
        <w:rPr>
          <w:rFonts w:hint="eastAsia" w:ascii="宋体" w:hAnsi="宋体"/>
          <w:color w:val="000000"/>
          <w:kern w:val="2"/>
          <w:sz w:val="18"/>
          <w:lang w:bidi="ar-SA"/>
        </w:rPr>
      </w:pPr>
      <w:r>
        <w:rPr>
          <w:rFonts w:hint="eastAsia" w:ascii="宋体" w:hAnsi="宋体"/>
          <w:color w:val="000000"/>
          <w:kern w:val="2"/>
          <w:sz w:val="18"/>
          <w:lang w:bidi="ar-SA"/>
        </w:rPr>
        <w:t>中融国际信托有限公司</w:t>
      </w:r>
      <w:r>
        <w:rPr>
          <w:rFonts w:hint="eastAsia" w:ascii="宋体" w:hAnsi="宋体"/>
          <w:color w:val="000000"/>
          <w:kern w:val="2"/>
          <w:sz w:val="18"/>
          <w:lang w:bidi="ar-SA"/>
        </w:rPr>
        <w:br w:type="textWrapping"/>
      </w:r>
      <w:r>
        <w:rPr>
          <w:rFonts w:hint="eastAsia" w:ascii="宋体" w:hAnsi="宋体"/>
          <w:color w:val="000000"/>
          <w:kern w:val="2"/>
          <w:sz w:val="18"/>
          <w:lang w:bidi="ar-SA"/>
        </w:rPr>
        <w:t xml:space="preserve">                         2016 年 1 月 </w:t>
      </w:r>
      <w:r>
        <w:rPr>
          <w:rFonts w:hint="eastAsia" w:ascii="宋体" w:hAnsi="宋体"/>
          <w:color w:val="000000"/>
          <w:kern w:val="2"/>
          <w:sz w:val="18"/>
          <w:lang w:val="en-US" w:eastAsia="zh-CN" w:bidi="ar-SA"/>
        </w:rPr>
        <w:t>1</w:t>
      </w:r>
      <w:bookmarkStart w:id="0" w:name="_GoBack"/>
      <w:bookmarkEnd w:id="0"/>
      <w:r>
        <w:rPr>
          <w:rFonts w:hint="eastAsia" w:ascii="宋体" w:hAnsi="宋体"/>
          <w:color w:val="000000"/>
          <w:kern w:val="2"/>
          <w:sz w:val="18"/>
          <w:lang w:bidi="ar-SA"/>
        </w:rPr>
        <w:t>日</w:t>
      </w:r>
    </w:p>
    <w:p>
      <w:pPr/>
    </w:p>
    <w:sectPr>
      <w:headerReference r:id="rId3" w:type="default"/>
      <w:footerReference r:id="rId4" w:type="default"/>
      <w:pgSz w:w="11906" w:h="16838"/>
      <w:pgMar w:top="1843" w:right="1797" w:bottom="1134" w:left="1797" w:header="471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tabs>
        <w:tab w:val="clear" w:pos="8306"/>
      </w:tabs>
      <w:ind w:left="-1800" w:leftChars="-857" w:right="-1772" w:rightChars="-844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_x0000_i1026" o:spt="75" type="#_x0000_t75" style="height:52.5pt;width:504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</w:p>
  <w:p>
    <w:pPr>
      <w:pStyle w:val="4"/>
      <w:tabs>
        <w:tab w:val="clear" w:pos="8306"/>
      </w:tabs>
      <w:spacing w:beforeLines="50"/>
      <w:ind w:left="-1800" w:leftChars="-857" w:right="-1772" w:rightChars="-844"/>
      <w:jc w:val="center"/>
    </w:pPr>
    <w:r>
      <w:rPr>
        <w:rFonts w:ascii="Arial" w:hAnsi="Arial" w:cs="Arial"/>
        <w:b/>
        <w:sz w:val="24"/>
        <w:szCs w:val="24"/>
      </w:rPr>
      <w:fldChar w:fldCharType="begin"/>
    </w:r>
    <w:r>
      <w:rPr>
        <w:rFonts w:ascii="Arial" w:hAnsi="Arial" w:cs="Arial"/>
        <w:b/>
      </w:rPr>
      <w:instrText xml:space="preserve">PAGE</w:instrText>
    </w:r>
    <w:r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</w:rPr>
      <w:t>5</w:t>
    </w:r>
    <w:r>
      <w:rPr>
        <w:rFonts w:ascii="Arial" w:hAnsi="Arial" w:cs="Arial"/>
        <w:b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b/>
        <w:sz w:val="24"/>
        <w:szCs w:val="24"/>
      </w:rPr>
      <w:fldChar w:fldCharType="begin"/>
    </w:r>
    <w:r>
      <w:rPr>
        <w:rFonts w:ascii="Arial" w:hAnsi="Arial" w:cs="Arial"/>
        <w:b/>
      </w:rPr>
      <w:instrText xml:space="preserve">NUMPAGES</w:instrText>
    </w:r>
    <w:r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</w:rPr>
      <w:t>8</w:t>
    </w:r>
    <w:r>
      <w:rPr>
        <w:rFonts w:ascii="Arial" w:hAnsi="Arial" w:cs="Arial"/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single" w:color="auto" w:sz="6" w:space="19"/>
      </w:pBdr>
      <w:tabs>
        <w:tab w:val="right" w:pos="8222"/>
        <w:tab w:val="clear" w:pos="8306"/>
      </w:tabs>
      <w:ind w:left="-1795" w:leftChars="-855" w:right="-1751" w:rightChars="-83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Rectangle 1" o:spid="_x0000_s4097" o:spt="1" style="position:absolute;left:0pt;margin-left:-99pt;margin-top:53.6pt;height:15.6pt;width:648pt;z-index:251658240;mso-width-relative:page;mso-height-relative:page;" fillcolor="#FFFFFF" filled="t" o:preferrelative="t" stroked="f" coordsize="21600,21600">
          <v:path/>
          <v:fill on="t" focussize="0,0"/>
          <v:stroke on="f"/>
          <v:imagedata gain="65536f" blacklevel="0f" gamma="0" o:title=""/>
          <o:lock v:ext="edit" position="f" selection="f" grouping="f" rotation="f" cropping="f" text="f" aspectratio="f"/>
        </v:rect>
      </w:pic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_x0000_i1025" o:spt="75" type="#_x0000_t75" style="height:45pt;width:519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95F33CE"/>
    <w:rsid w:val="51D1114D"/>
    <w:rsid w:val="65E12D35"/>
    <w:rsid w:val="70C1071D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nhideWhenUsed="0" w:uiPriority="0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  <w:style w:type="paragraph" w:customStyle="1" w:styleId="10">
    <w:name w:val="Normal New New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页眉 Char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8</Pages>
  <Words>717</Words>
  <Characters>4091</Characters>
  <Lines>34</Lines>
  <Paragraphs>9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2016-01-07T05:42:00Z</dcterms:created>
  <dc:creator>中融信托公文收文员</dc:creator>
  <cp:lastModifiedBy>Administrator</cp:lastModifiedBy>
  <cp:lastPrinted>2011-04-28T03:19:00Z</cp:lastPrinted>
  <dcterms:modified xsi:type="dcterms:W3CDTF">2016-01-15T08:25:49Z</dcterms:modified>
  <dc:title>中融-隆晟1号结构化集合资金信托计划 A1、A2、A3、A4、B4、A5、A6、A10、A11、A12、A13、A16、A17和A18类优先级信托单位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