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宋体" w:hAnsi="宋体"/>
          <w:b/>
          <w:szCs w:val="21"/>
        </w:rPr>
      </w:pPr>
    </w:p>
    <w:p>
      <w:pPr>
        <w:jc w:val="center"/>
        <w:rPr>
          <w:rFonts w:ascii="宋体" w:hAnsi="宋体"/>
          <w:b/>
          <w:sz w:val="32"/>
          <w:szCs w:val="32"/>
        </w:rPr>
      </w:pPr>
      <w:r>
        <w:rPr>
          <w:rFonts w:hint="eastAsia" w:ascii="宋体" w:hAnsi="宋体"/>
          <w:b/>
          <w:sz w:val="32"/>
          <w:szCs w:val="32"/>
        </w:rPr>
        <w:t>中融-承源</w:t>
      </w:r>
      <w:r>
        <w:rPr>
          <w:rFonts w:hint="eastAsia" w:ascii="宋体" w:hAnsi="宋体"/>
          <w:b/>
          <w:sz w:val="32"/>
          <w:szCs w:val="32"/>
          <w:lang w:val="en-US" w:eastAsia="zh-CN"/>
        </w:rPr>
        <w:t>10</w:t>
      </w:r>
      <w:r>
        <w:rPr>
          <w:rFonts w:hint="eastAsia" w:ascii="宋体" w:hAnsi="宋体"/>
          <w:b/>
          <w:sz w:val="32"/>
          <w:szCs w:val="32"/>
        </w:rPr>
        <w:t>号证券投资集合资金信托计划</w:t>
      </w:r>
    </w:p>
    <w:p>
      <w:pPr>
        <w:jc w:val="center"/>
        <w:rPr>
          <w:rFonts w:ascii="宋体" w:hAnsi="宋体"/>
          <w:b/>
          <w:sz w:val="32"/>
          <w:szCs w:val="32"/>
        </w:rPr>
      </w:pPr>
      <w:r>
        <w:rPr>
          <w:rFonts w:hint="eastAsia" w:ascii="宋体" w:hAnsi="宋体"/>
          <w:b/>
          <w:sz w:val="32"/>
          <w:szCs w:val="32"/>
        </w:rPr>
        <w:t>第一次受益人大会</w:t>
      </w:r>
    </w:p>
    <w:p>
      <w:pPr>
        <w:jc w:val="center"/>
        <w:rPr>
          <w:rFonts w:ascii="宋体" w:hAnsi="宋体"/>
          <w:b/>
          <w:sz w:val="32"/>
          <w:szCs w:val="32"/>
        </w:rPr>
      </w:pPr>
      <w:r>
        <w:rPr>
          <w:rFonts w:hint="eastAsia" w:ascii="宋体" w:hAnsi="宋体"/>
          <w:b/>
          <w:sz w:val="32"/>
          <w:szCs w:val="32"/>
        </w:rPr>
        <w:t>表决票</w:t>
      </w:r>
    </w:p>
    <w:p>
      <w:pPr>
        <w:jc w:val="center"/>
        <w:rPr>
          <w:rFonts w:ascii="宋体" w:hAnsi="宋体"/>
          <w:sz w:val="32"/>
          <w:szCs w:val="32"/>
        </w:rPr>
      </w:pPr>
    </w:p>
    <w:p>
      <w:pPr>
        <w:pStyle w:val="8"/>
        <w:numPr>
          <w:ilvl w:val="0"/>
          <w:numId w:val="1"/>
        </w:numPr>
        <w:ind w:firstLineChars="0"/>
        <w:rPr>
          <w:rFonts w:ascii="仿宋_GB2312" w:eastAsia="仿宋_GB2312"/>
          <w:sz w:val="28"/>
          <w:szCs w:val="28"/>
        </w:rPr>
      </w:pPr>
      <w:r>
        <w:rPr>
          <w:rFonts w:hint="eastAsia" w:ascii="仿宋_GB2312" w:eastAsia="仿宋_GB2312"/>
          <w:sz w:val="28"/>
          <w:szCs w:val="28"/>
        </w:rPr>
        <w:t>表决人资料</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受益人姓名/名称：</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身份证件/证照号码：</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机构受益人法定代表人/负责人姓名：</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法定代表人/负责人身份证件号码：</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持有信托份额：</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代理人姓名：（或有）</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代理人身份证件号码：（或有）</w:t>
      </w:r>
    </w:p>
    <w:p>
      <w:pPr>
        <w:pStyle w:val="8"/>
        <w:numPr>
          <w:ilvl w:val="0"/>
          <w:numId w:val="1"/>
        </w:numPr>
        <w:ind w:firstLineChars="0"/>
        <w:rPr>
          <w:rFonts w:ascii="仿宋_GB2312" w:eastAsia="仿宋_GB2312"/>
          <w:sz w:val="28"/>
          <w:szCs w:val="28"/>
        </w:rPr>
      </w:pPr>
      <w:r>
        <w:rPr>
          <w:rFonts w:hint="eastAsia" w:ascii="仿宋_GB2312" w:eastAsia="仿宋_GB2312"/>
          <w:sz w:val="28"/>
          <w:szCs w:val="28"/>
        </w:rPr>
        <w:t>审议事项及表决意见（请在相应意见后标记“√”）</w:t>
      </w:r>
    </w:p>
    <w:tbl>
      <w:tblPr>
        <w:tblW w:w="83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1"/>
        <w:gridCol w:w="973"/>
        <w:gridCol w:w="975"/>
        <w:gridCol w:w="973"/>
      </w:tblGrid>
      <w:tr>
        <w:tc>
          <w:tcPr>
            <w:tcW w:w="5381" w:type="dxa"/>
            <w:vMerge w:val="restart"/>
            <w:vAlign w:val="center"/>
          </w:tcPr>
          <w:p>
            <w:pPr>
              <w:jc w:val="center"/>
              <w:rPr>
                <w:rFonts w:ascii="仿宋_GB2312" w:eastAsia="仿宋_GB2312"/>
                <w:sz w:val="28"/>
                <w:szCs w:val="28"/>
              </w:rPr>
            </w:pPr>
            <w:r>
              <w:rPr>
                <w:rFonts w:hint="eastAsia" w:ascii="仿宋_GB2312" w:eastAsia="仿宋_GB2312"/>
                <w:sz w:val="28"/>
                <w:szCs w:val="28"/>
              </w:rPr>
              <w:t>审议事项</w:t>
            </w:r>
          </w:p>
        </w:tc>
        <w:tc>
          <w:tcPr>
            <w:tcW w:w="2921" w:type="dxa"/>
            <w:gridSpan w:val="3"/>
            <w:vAlign w:val="top"/>
          </w:tcPr>
          <w:p>
            <w:pPr>
              <w:jc w:val="center"/>
              <w:rPr>
                <w:rFonts w:ascii="仿宋_GB2312" w:eastAsia="仿宋_GB2312"/>
                <w:sz w:val="28"/>
                <w:szCs w:val="28"/>
              </w:rPr>
            </w:pPr>
            <w:r>
              <w:rPr>
                <w:rFonts w:hint="eastAsia" w:ascii="仿宋_GB2312" w:eastAsia="仿宋_GB2312"/>
                <w:sz w:val="28"/>
                <w:szCs w:val="28"/>
              </w:rPr>
              <w:t>表决意见</w:t>
            </w:r>
          </w:p>
        </w:tc>
      </w:tr>
      <w:tr>
        <w:tc>
          <w:tcPr>
            <w:tcW w:w="5381" w:type="dxa"/>
            <w:vMerge w:val="continue"/>
            <w:vAlign w:val="top"/>
          </w:tcPr>
          <w:p>
            <w:pPr>
              <w:rPr>
                <w:rFonts w:ascii="仿宋_GB2312" w:eastAsia="仿宋_GB2312"/>
                <w:sz w:val="28"/>
                <w:szCs w:val="28"/>
              </w:rPr>
            </w:pPr>
          </w:p>
        </w:tc>
        <w:tc>
          <w:tcPr>
            <w:tcW w:w="973" w:type="dxa"/>
            <w:vAlign w:val="top"/>
          </w:tcPr>
          <w:p>
            <w:pPr>
              <w:rPr>
                <w:rFonts w:ascii="仿宋_GB2312" w:eastAsia="仿宋_GB2312"/>
                <w:sz w:val="28"/>
                <w:szCs w:val="28"/>
              </w:rPr>
            </w:pPr>
            <w:r>
              <w:rPr>
                <w:rFonts w:hint="eastAsia" w:ascii="仿宋_GB2312" w:eastAsia="仿宋_GB2312"/>
                <w:sz w:val="28"/>
                <w:szCs w:val="28"/>
              </w:rPr>
              <w:t>同意</w:t>
            </w:r>
          </w:p>
        </w:tc>
        <w:tc>
          <w:tcPr>
            <w:tcW w:w="975" w:type="dxa"/>
            <w:vAlign w:val="top"/>
          </w:tcPr>
          <w:p>
            <w:pPr>
              <w:rPr>
                <w:rFonts w:ascii="仿宋_GB2312" w:eastAsia="仿宋_GB2312"/>
                <w:sz w:val="28"/>
                <w:szCs w:val="28"/>
              </w:rPr>
            </w:pPr>
            <w:r>
              <w:rPr>
                <w:rFonts w:hint="eastAsia" w:ascii="仿宋_GB2312" w:eastAsia="仿宋_GB2312"/>
                <w:sz w:val="28"/>
                <w:szCs w:val="28"/>
              </w:rPr>
              <w:t>反对</w:t>
            </w:r>
          </w:p>
        </w:tc>
        <w:tc>
          <w:tcPr>
            <w:tcW w:w="973" w:type="dxa"/>
            <w:vAlign w:val="top"/>
          </w:tcPr>
          <w:p>
            <w:pPr>
              <w:rPr>
                <w:rFonts w:ascii="仿宋_GB2312" w:eastAsia="仿宋_GB2312"/>
                <w:sz w:val="28"/>
                <w:szCs w:val="28"/>
              </w:rPr>
            </w:pPr>
            <w:r>
              <w:rPr>
                <w:rFonts w:hint="eastAsia" w:ascii="仿宋_GB2312" w:eastAsia="仿宋_GB2312"/>
                <w:sz w:val="28"/>
                <w:szCs w:val="28"/>
              </w:rPr>
              <w:t>弃权</w:t>
            </w:r>
          </w:p>
        </w:tc>
      </w:tr>
      <w:tr>
        <w:trPr>
          <w:trHeight w:val="421" w:hRule="atLeast"/>
        </w:trPr>
        <w:tc>
          <w:tcPr>
            <w:tcW w:w="5381" w:type="dxa"/>
            <w:vAlign w:val="top"/>
          </w:tcPr>
          <w:p>
            <w:pPr>
              <w:numPr>
                <w:numId w:val="0"/>
              </w:numPr>
              <w:autoSpaceDE w:val="0"/>
              <w:autoSpaceDN w:val="0"/>
              <w:adjustRightInd w:val="0"/>
              <w:spacing w:beforeLines="50" w:afterLines="50" w:line="360" w:lineRule="auto"/>
              <w:rPr>
                <w:rFonts w:hint="eastAsia" w:eastAsia="楷体_GB2312"/>
                <w:sz w:val="24"/>
              </w:rPr>
            </w:pPr>
            <w:r>
              <w:rPr>
                <w:rFonts w:hint="eastAsia" w:eastAsia="楷体_GB2312"/>
                <w:sz w:val="24"/>
              </w:rPr>
              <w:t>1.延长本信托计划存续期1年至2017年6月</w:t>
            </w:r>
            <w:r>
              <w:rPr>
                <w:rFonts w:hint="eastAsia" w:eastAsia="楷体_GB2312"/>
                <w:sz w:val="24"/>
                <w:lang w:val="en-US" w:eastAsia="zh-CN"/>
              </w:rPr>
              <w:t>22</w:t>
            </w:r>
            <w:r>
              <w:rPr>
                <w:rFonts w:hint="eastAsia" w:eastAsia="楷体_GB2312"/>
                <w:sz w:val="24"/>
              </w:rPr>
              <w:t>日，受托人在延长期内逐步将标的公司股票变现。如全部股票变现完成后，受托人可选择终止并清算本信托计划而不用再次召开受益人大会。1年延长期届满时，如果信托计划的财产仍未全部变现，则本信托计划可根据《信托合同》的约定继续延期。</w:t>
            </w:r>
          </w:p>
          <w:p>
            <w:pPr>
              <w:numPr>
                <w:numId w:val="0"/>
              </w:numPr>
              <w:autoSpaceDE w:val="0"/>
              <w:autoSpaceDN w:val="0"/>
              <w:adjustRightInd w:val="0"/>
              <w:spacing w:beforeLines="50" w:afterLines="50" w:line="360" w:lineRule="auto"/>
              <w:rPr>
                <w:rFonts w:hint="eastAsia" w:eastAsia="楷体_GB2312"/>
                <w:sz w:val="24"/>
                <w:lang w:eastAsia="zh-CN"/>
              </w:rPr>
            </w:pPr>
            <w:r>
              <w:rPr>
                <w:rFonts w:hint="eastAsia" w:eastAsia="楷体_GB2312"/>
                <w:sz w:val="24"/>
              </w:rPr>
              <w:t>信托计划延长期内，受托人不再收取固定信托报酬（浮动信托报酬仍然按照原合同的约定于信托计划终止日（即延长期终止之日）计算，并于信托计划终止日之后的10个工作日内支付）；保管费将按照原合同的约定计算并向保管行支付。</w:t>
            </w:r>
          </w:p>
        </w:tc>
        <w:tc>
          <w:tcPr>
            <w:tcW w:w="973" w:type="dxa"/>
            <w:vAlign w:val="top"/>
          </w:tcPr>
          <w:p>
            <w:pPr>
              <w:autoSpaceDE w:val="0"/>
              <w:autoSpaceDN w:val="0"/>
              <w:adjustRightInd w:val="0"/>
              <w:spacing w:beforeLines="50" w:afterLines="50" w:line="360" w:lineRule="auto"/>
              <w:ind w:firstLine="360" w:firstLineChars="150"/>
              <w:rPr>
                <w:rFonts w:ascii="楷体_GB2312" w:hAnsi="楷体_GB2312" w:eastAsia="楷体_GB2312" w:cs="楷体_GB2312"/>
                <w:sz w:val="24"/>
              </w:rPr>
            </w:pPr>
          </w:p>
        </w:tc>
        <w:tc>
          <w:tcPr>
            <w:tcW w:w="975" w:type="dxa"/>
            <w:vAlign w:val="top"/>
          </w:tcPr>
          <w:p>
            <w:pPr>
              <w:autoSpaceDE w:val="0"/>
              <w:autoSpaceDN w:val="0"/>
              <w:adjustRightInd w:val="0"/>
              <w:spacing w:beforeLines="50" w:afterLines="50" w:line="360" w:lineRule="auto"/>
              <w:ind w:firstLine="360" w:firstLineChars="150"/>
              <w:rPr>
                <w:rFonts w:ascii="楷体_GB2312" w:hAnsi="楷体_GB2312" w:eastAsia="楷体_GB2312" w:cs="楷体_GB2312"/>
                <w:sz w:val="24"/>
              </w:rPr>
            </w:pPr>
          </w:p>
          <w:p>
            <w:pPr>
              <w:autoSpaceDE w:val="0"/>
              <w:autoSpaceDN w:val="0"/>
              <w:adjustRightInd w:val="0"/>
              <w:spacing w:beforeLines="50" w:afterLines="50" w:line="360" w:lineRule="auto"/>
              <w:ind w:firstLine="360" w:firstLineChars="150"/>
              <w:rPr>
                <w:rFonts w:ascii="楷体_GB2312" w:hAnsi="楷体_GB2312" w:eastAsia="楷体_GB2312" w:cs="楷体_GB2312"/>
                <w:sz w:val="24"/>
              </w:rPr>
            </w:pPr>
          </w:p>
        </w:tc>
        <w:tc>
          <w:tcPr>
            <w:tcW w:w="973" w:type="dxa"/>
            <w:vAlign w:val="top"/>
          </w:tcPr>
          <w:p>
            <w:pPr>
              <w:rPr>
                <w:rFonts w:ascii="仿宋_GB2312" w:eastAsia="仿宋_GB2312"/>
                <w:sz w:val="28"/>
                <w:szCs w:val="28"/>
              </w:rPr>
            </w:pPr>
          </w:p>
        </w:tc>
      </w:tr>
      <w:tr>
        <w:trPr>
          <w:trHeight w:val="2767" w:hRule="atLeast"/>
        </w:trPr>
        <w:tc>
          <w:tcPr>
            <w:tcW w:w="5381" w:type="dxa"/>
            <w:vAlign w:val="top"/>
          </w:tcPr>
          <w:p>
            <w:pPr>
              <w:autoSpaceDE w:val="0"/>
              <w:autoSpaceDN w:val="0"/>
              <w:adjustRightInd w:val="0"/>
              <w:spacing w:beforeLines="50" w:afterLines="50" w:line="360" w:lineRule="auto"/>
              <w:ind w:firstLine="360" w:firstLineChars="150"/>
              <w:rPr>
                <w:rFonts w:hint="eastAsia" w:eastAsia="楷体_GB2312"/>
                <w:sz w:val="24"/>
              </w:rPr>
            </w:pPr>
            <w:r>
              <w:rPr>
                <w:rFonts w:hint="eastAsia" w:eastAsia="楷体_GB2312"/>
                <w:sz w:val="24"/>
              </w:rPr>
              <w:t>2.根据《信托合同》11.2.3，受托人有权进行信托利益的临时分配。同时，如果投资人希望提前退出信托计划，则投资人可申请与受托人签订信托合同补充协议，与受托人就分配及退出事宜进行补充约定，并按照受托人的要求提交《提前退出申请书》及其他书面材料。受托人收到上述材料后，将对应股票卖出变现且汇回境内保管户之日为确认退出日。确认退出日为临时核算日，受托人对此部分信托份额进行临时分配。所分配信托利益对应的信托受益权于临时核算日终止，该临时核算日即为该等信托受益权终止日，受益人不再享有该等信托受益权，并停止计算信托收益。与临时分配有关的事宜，以针对该事宜签订的信托合同补充协议为准。</w:t>
            </w:r>
          </w:p>
        </w:tc>
        <w:tc>
          <w:tcPr>
            <w:tcW w:w="973" w:type="dxa"/>
            <w:vAlign w:val="top"/>
          </w:tcPr>
          <w:p>
            <w:pPr>
              <w:autoSpaceDE w:val="0"/>
              <w:autoSpaceDN w:val="0"/>
              <w:adjustRightInd w:val="0"/>
              <w:spacing w:beforeLines="50" w:afterLines="50" w:line="360" w:lineRule="auto"/>
              <w:ind w:firstLine="360" w:firstLineChars="150"/>
              <w:rPr>
                <w:rFonts w:hint="eastAsia" w:eastAsia="楷体_GB2312"/>
                <w:sz w:val="24"/>
              </w:rPr>
            </w:pPr>
          </w:p>
        </w:tc>
        <w:tc>
          <w:tcPr>
            <w:tcW w:w="975" w:type="dxa"/>
            <w:vAlign w:val="top"/>
          </w:tcPr>
          <w:p>
            <w:pPr>
              <w:autoSpaceDE w:val="0"/>
              <w:autoSpaceDN w:val="0"/>
              <w:adjustRightInd w:val="0"/>
              <w:spacing w:beforeLines="50" w:afterLines="50" w:line="360" w:lineRule="auto"/>
              <w:ind w:firstLine="360" w:firstLineChars="150"/>
              <w:rPr>
                <w:rFonts w:hint="eastAsia" w:eastAsia="楷体_GB2312"/>
                <w:sz w:val="24"/>
              </w:rPr>
            </w:pPr>
          </w:p>
        </w:tc>
        <w:tc>
          <w:tcPr>
            <w:tcW w:w="973" w:type="dxa"/>
            <w:vAlign w:val="top"/>
          </w:tcPr>
          <w:p>
            <w:pPr>
              <w:autoSpaceDE w:val="0"/>
              <w:autoSpaceDN w:val="0"/>
              <w:adjustRightInd w:val="0"/>
              <w:spacing w:beforeLines="50" w:afterLines="50" w:line="360" w:lineRule="auto"/>
              <w:ind w:firstLine="360" w:firstLineChars="150"/>
              <w:rPr>
                <w:rFonts w:hint="eastAsia" w:eastAsia="楷体_GB2312"/>
                <w:sz w:val="24"/>
              </w:rPr>
            </w:pPr>
          </w:p>
        </w:tc>
      </w:tr>
      <w:tr>
        <w:trPr>
          <w:trHeight w:val="1717" w:hRule="atLeast"/>
        </w:trPr>
        <w:tc>
          <w:tcPr>
            <w:tcW w:w="5381" w:type="dxa"/>
            <w:textDirection w:val="lrTb"/>
            <w:vAlign w:val="top"/>
          </w:tcPr>
          <w:p>
            <w:pPr>
              <w:autoSpaceDE w:val="0"/>
              <w:autoSpaceDN w:val="0"/>
              <w:adjustRightInd w:val="0"/>
              <w:spacing w:beforeLines="50" w:afterLines="50" w:line="360" w:lineRule="auto"/>
              <w:ind w:firstLine="360" w:firstLineChars="150"/>
              <w:rPr>
                <w:rFonts w:hint="eastAsia" w:eastAsia="楷体_GB2312"/>
                <w:sz w:val="24"/>
              </w:rPr>
            </w:pPr>
            <w:r>
              <w:rPr>
                <w:rFonts w:hint="eastAsia" w:eastAsia="楷体_GB2312"/>
                <w:sz w:val="24"/>
              </w:rPr>
              <w:t>3.卖出标的公司股票后，允许信托计划根据受托人对证券市场的判断将所得资金再次买入标的公司股票。</w:t>
            </w:r>
          </w:p>
        </w:tc>
        <w:tc>
          <w:tcPr>
            <w:tcW w:w="973" w:type="dxa"/>
            <w:textDirection w:val="lrTb"/>
            <w:vAlign w:val="top"/>
          </w:tcPr>
          <w:p>
            <w:pPr>
              <w:autoSpaceDE w:val="0"/>
              <w:autoSpaceDN w:val="0"/>
              <w:adjustRightInd w:val="0"/>
              <w:spacing w:beforeLines="50" w:afterLines="50" w:line="360" w:lineRule="auto"/>
              <w:ind w:firstLine="360" w:firstLineChars="150"/>
              <w:rPr>
                <w:rFonts w:hint="eastAsia" w:eastAsia="楷体_GB2312"/>
                <w:sz w:val="24"/>
              </w:rPr>
            </w:pPr>
          </w:p>
        </w:tc>
        <w:tc>
          <w:tcPr>
            <w:tcW w:w="975" w:type="dxa"/>
            <w:textDirection w:val="lrTb"/>
            <w:vAlign w:val="top"/>
          </w:tcPr>
          <w:p>
            <w:pPr>
              <w:autoSpaceDE w:val="0"/>
              <w:autoSpaceDN w:val="0"/>
              <w:adjustRightInd w:val="0"/>
              <w:spacing w:beforeLines="50" w:afterLines="50" w:line="360" w:lineRule="auto"/>
              <w:ind w:firstLine="360" w:firstLineChars="150"/>
              <w:rPr>
                <w:rFonts w:hint="eastAsia" w:eastAsia="楷体_GB2312"/>
                <w:sz w:val="24"/>
              </w:rPr>
            </w:pPr>
          </w:p>
        </w:tc>
        <w:tc>
          <w:tcPr>
            <w:tcW w:w="973" w:type="dxa"/>
            <w:textDirection w:val="lrTb"/>
            <w:vAlign w:val="top"/>
          </w:tcPr>
          <w:p>
            <w:pPr>
              <w:autoSpaceDE w:val="0"/>
              <w:autoSpaceDN w:val="0"/>
              <w:adjustRightInd w:val="0"/>
              <w:spacing w:beforeLines="50" w:afterLines="50" w:line="360" w:lineRule="auto"/>
              <w:ind w:firstLine="360" w:firstLineChars="150"/>
              <w:rPr>
                <w:rFonts w:hint="eastAsia" w:eastAsia="楷体_GB2312"/>
                <w:sz w:val="24"/>
              </w:rPr>
            </w:pPr>
          </w:p>
        </w:tc>
      </w:tr>
    </w:tbl>
    <w:p>
      <w:pPr>
        <w:rPr>
          <w:rFonts w:ascii="仿宋_GB2312" w:eastAsia="仿宋_GB2312"/>
          <w:sz w:val="28"/>
          <w:szCs w:val="28"/>
        </w:rPr>
      </w:pPr>
      <w:bookmarkStart w:id="0" w:name="_GoBack"/>
      <w:bookmarkEnd w:id="0"/>
    </w:p>
    <w:p>
      <w:pPr>
        <w:pStyle w:val="8"/>
        <w:numPr>
          <w:ilvl w:val="0"/>
          <w:numId w:val="1"/>
        </w:numPr>
        <w:ind w:firstLineChars="0"/>
        <w:rPr>
          <w:rFonts w:ascii="仿宋_GB2312" w:eastAsia="仿宋_GB2312"/>
          <w:sz w:val="28"/>
          <w:szCs w:val="28"/>
        </w:rPr>
      </w:pPr>
      <w:r>
        <w:rPr>
          <w:rFonts w:hint="eastAsia" w:ascii="仿宋_GB2312" w:eastAsia="仿宋_GB2312"/>
          <w:sz w:val="28"/>
          <w:szCs w:val="28"/>
        </w:rPr>
        <w:t>受益人/代理人在回邮表决票原件时，应将下述材料一并寄回：</w:t>
      </w:r>
    </w:p>
    <w:p>
      <w:pPr>
        <w:ind w:firstLine="420" w:firstLineChars="0"/>
        <w:rPr>
          <w:rFonts w:hint="eastAsia" w:ascii="仿宋_GB2312" w:hAnsi="Times New Roman" w:eastAsia="仿宋_GB2312" w:cs="Times New Roman"/>
          <w:kern w:val="2"/>
          <w:sz w:val="28"/>
          <w:szCs w:val="28"/>
        </w:rPr>
      </w:pPr>
      <w:r>
        <w:rPr>
          <w:rFonts w:hint="eastAsia" w:ascii="仿宋_GB2312" w:eastAsia="仿宋_GB2312" w:cs="Times New Roman"/>
          <w:kern w:val="2"/>
          <w:sz w:val="28"/>
          <w:szCs w:val="28"/>
          <w:lang w:eastAsia="zh-CN"/>
        </w:rPr>
        <w:t>（</w:t>
      </w:r>
      <w:r>
        <w:rPr>
          <w:rFonts w:hint="eastAsia" w:ascii="仿宋_GB2312" w:eastAsia="仿宋_GB2312" w:cs="Times New Roman"/>
          <w:kern w:val="2"/>
          <w:sz w:val="28"/>
          <w:szCs w:val="28"/>
          <w:lang w:val="en-US" w:eastAsia="zh-CN"/>
        </w:rPr>
        <w:t>1</w:t>
      </w:r>
      <w:r>
        <w:rPr>
          <w:rFonts w:hint="eastAsia" w:ascii="仿宋_GB2312" w:eastAsia="仿宋_GB2312" w:cs="Times New Roman"/>
          <w:kern w:val="2"/>
          <w:sz w:val="28"/>
          <w:szCs w:val="28"/>
          <w:lang w:eastAsia="zh-CN"/>
        </w:rPr>
        <w:t>）</w:t>
      </w:r>
      <w:r>
        <w:rPr>
          <w:rFonts w:hint="eastAsia" w:ascii="仿宋_GB2312" w:hAnsi="Times New Roman" w:eastAsia="仿宋_GB2312" w:cs="Times New Roman"/>
          <w:kern w:val="2"/>
          <w:sz w:val="28"/>
          <w:szCs w:val="28"/>
        </w:rPr>
        <w:t>自然人受益人本人参加受益人大会，应向收票员邮寄经本人签字的身份证明复印件；</w:t>
      </w:r>
    </w:p>
    <w:p>
      <w:pPr>
        <w:ind w:firstLine="420" w:firstLineChars="0"/>
        <w:rPr>
          <w:rFonts w:hint="eastAsia" w:ascii="仿宋_GB2312" w:hAnsi="Times New Roman" w:eastAsia="仿宋_GB2312" w:cs="Times New Roman"/>
          <w:kern w:val="2"/>
          <w:sz w:val="28"/>
          <w:szCs w:val="28"/>
        </w:rPr>
      </w:pPr>
      <w:r>
        <w:rPr>
          <w:rFonts w:hint="eastAsia" w:ascii="仿宋_GB2312" w:eastAsia="仿宋_GB2312" w:cs="Times New Roman"/>
          <w:kern w:val="2"/>
          <w:sz w:val="28"/>
          <w:szCs w:val="28"/>
          <w:lang w:eastAsia="zh-CN"/>
        </w:rPr>
        <w:t>（</w:t>
      </w:r>
      <w:r>
        <w:rPr>
          <w:rFonts w:hint="eastAsia" w:ascii="仿宋_GB2312" w:eastAsia="仿宋_GB2312" w:cs="Times New Roman"/>
          <w:kern w:val="2"/>
          <w:sz w:val="28"/>
          <w:szCs w:val="28"/>
          <w:lang w:val="en-US" w:eastAsia="zh-CN"/>
        </w:rPr>
        <w:t>2</w:t>
      </w:r>
      <w:r>
        <w:rPr>
          <w:rFonts w:hint="eastAsia" w:ascii="仿宋_GB2312" w:eastAsia="仿宋_GB2312" w:cs="Times New Roman"/>
          <w:kern w:val="2"/>
          <w:sz w:val="28"/>
          <w:szCs w:val="28"/>
          <w:lang w:eastAsia="zh-CN"/>
        </w:rPr>
        <w:t>）</w:t>
      </w:r>
      <w:r>
        <w:rPr>
          <w:rFonts w:hint="eastAsia" w:ascii="仿宋_GB2312" w:hAnsi="Times New Roman" w:eastAsia="仿宋_GB2312" w:cs="Times New Roman"/>
          <w:kern w:val="2"/>
          <w:sz w:val="28"/>
          <w:szCs w:val="28"/>
        </w:rPr>
        <w:t>机构受益人由法定代表人或负责人参加受益人大会的，应向收票员邮寄加盖机构公章的营业执照副本复印件、经本人签字的身份证明复印件；</w:t>
      </w:r>
    </w:p>
    <w:p>
      <w:pPr>
        <w:ind w:firstLine="420" w:firstLineChars="0"/>
        <w:rPr>
          <w:rFonts w:ascii="仿宋_GB2312" w:eastAsia="仿宋_GB2312"/>
          <w:sz w:val="28"/>
          <w:szCs w:val="28"/>
        </w:rPr>
      </w:pPr>
      <w:r>
        <w:rPr>
          <w:rFonts w:hint="eastAsia" w:ascii="仿宋_GB2312" w:eastAsia="仿宋_GB2312" w:cs="Times New Roman"/>
          <w:kern w:val="2"/>
          <w:sz w:val="28"/>
          <w:szCs w:val="28"/>
          <w:lang w:eastAsia="zh-CN"/>
        </w:rPr>
        <w:t>（</w:t>
      </w:r>
      <w:r>
        <w:rPr>
          <w:rFonts w:hint="eastAsia" w:ascii="仿宋_GB2312" w:eastAsia="仿宋_GB2312" w:cs="Times New Roman"/>
          <w:kern w:val="2"/>
          <w:sz w:val="28"/>
          <w:szCs w:val="28"/>
          <w:lang w:val="en-US" w:eastAsia="zh-CN"/>
        </w:rPr>
        <w:t>3</w:t>
      </w:r>
      <w:r>
        <w:rPr>
          <w:rFonts w:hint="eastAsia" w:ascii="仿宋_GB2312" w:eastAsia="仿宋_GB2312" w:cs="Times New Roman"/>
          <w:kern w:val="2"/>
          <w:sz w:val="28"/>
          <w:szCs w:val="28"/>
          <w:lang w:eastAsia="zh-CN"/>
        </w:rPr>
        <w:t>）</w:t>
      </w:r>
      <w:r>
        <w:rPr>
          <w:rFonts w:hint="eastAsia" w:ascii="仿宋_GB2312" w:hAnsi="Times New Roman" w:eastAsia="仿宋_GB2312" w:cs="Times New Roman"/>
          <w:kern w:val="2"/>
          <w:sz w:val="28"/>
          <w:szCs w:val="28"/>
        </w:rPr>
        <w:t>代理人参会的，除根据上述规定提交所列各项复印件外，还应向收票员邮寄授权委托书原件和经代理人签字的代理人身份证明复印件。</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受益人/代理人签章：</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日期：</w:t>
      </w:r>
    </w:p>
    <w:sectPr>
      <w:headerReference r:id="rId4" w:type="default"/>
      <w:footerReference r:id="rId5" w:type="default"/>
      <w:pgSz w:w="11906" w:h="16838"/>
      <w:pgMar w:top="1673" w:right="1797" w:bottom="1134" w:left="1797" w:header="284" w:footer="191"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1" w:usb1="080E0000" w:usb2="00000010" w:usb3="00000000" w:csb0="00040000" w:csb1="00000000"/>
  </w:font>
  <w:font w:name="楷体_GB2312">
    <w:altName w:val="楷体"/>
    <w:panose1 w:val="00000000000000000000"/>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tabs>
        <w:tab w:val="clear" w:pos="8306"/>
      </w:tabs>
      <w:ind w:left="-1800" w:leftChars="-857" w:right="-1772" w:rightChars="-844"/>
      <w:jc w:val="center"/>
    </w:pPr>
    <w:r>
      <w:rPr>
        <w:rFonts w:hint="eastAsia" w:ascii="Times New Roman" w:hAnsi="Times New Roman" w:eastAsia="宋体" w:cs="Times New Roman"/>
        <w:kern w:val="2"/>
        <w:sz w:val="18"/>
        <w:szCs w:val="18"/>
        <w:lang w:val="en-US" w:eastAsia="zh-CN" w:bidi="ar-SA"/>
      </w:rPr>
      <w:pict>
        <v:shape id="图片框 1027" o:spid="_x0000_s1027" type="#_x0000_t75" style="height:48pt;width:504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p>
  <w:p>
    <w:pPr>
      <w:pStyle w:val="4"/>
      <w:tabs>
        <w:tab w:val="clear" w:pos="8306"/>
      </w:tabs>
      <w:spacing w:beforeLines="50"/>
      <w:ind w:left="-1800" w:leftChars="-857" w:right="-1772" w:rightChars="-844"/>
      <w:jc w:val="center"/>
    </w:pPr>
    <w:r>
      <w:rPr>
        <w:rFonts w:ascii="Arial" w:hAnsi="Arial" w:cs="Arial"/>
        <w:b/>
        <w:sz w:val="24"/>
        <w:szCs w:val="24"/>
      </w:rPr>
      <w:fldChar w:fldCharType="begin"/>
    </w:r>
    <w:r>
      <w:rPr>
        <w:rFonts w:ascii="Arial" w:hAnsi="Arial" w:cs="Arial"/>
        <w:b/>
      </w:rPr>
      <w:instrText xml:space="preserve">PAGE</w:instrText>
    </w:r>
    <w:r>
      <w:rPr>
        <w:rFonts w:ascii="Arial" w:hAnsi="Arial" w:cs="Arial"/>
        <w:b/>
        <w:sz w:val="24"/>
        <w:szCs w:val="24"/>
      </w:rPr>
      <w:fldChar w:fldCharType="separate"/>
    </w:r>
    <w:r>
      <w:rPr>
        <w:rFonts w:ascii="Arial" w:hAnsi="Arial" w:cs="Arial"/>
        <w:b/>
      </w:rPr>
      <w:t>2</w:t>
    </w:r>
    <w:r>
      <w:rPr>
        <w:rFonts w:ascii="Arial" w:hAnsi="Arial" w:cs="Arial"/>
        <w:b/>
        <w:sz w:val="24"/>
        <w:szCs w:val="24"/>
      </w:rPr>
      <w:fldChar w:fldCharType="end"/>
    </w:r>
    <w:r>
      <w:rPr>
        <w:rFonts w:ascii="Arial" w:hAnsi="Arial" w:cs="Arial"/>
        <w:lang w:val="zh-CN"/>
      </w:rPr>
      <w:t xml:space="preserve"> / </w:t>
    </w:r>
    <w:r>
      <w:rPr>
        <w:rFonts w:ascii="Arial" w:hAnsi="Arial" w:cs="Arial"/>
        <w:b/>
        <w:sz w:val="24"/>
        <w:szCs w:val="24"/>
      </w:rPr>
      <w:fldChar w:fldCharType="begin"/>
    </w:r>
    <w:r>
      <w:rPr>
        <w:rFonts w:ascii="Arial" w:hAnsi="Arial" w:cs="Arial"/>
        <w:b/>
      </w:rPr>
      <w:instrText xml:space="preserve">NUMPAGES</w:instrText>
    </w:r>
    <w:r>
      <w:rPr>
        <w:rFonts w:ascii="Arial" w:hAnsi="Arial" w:cs="Arial"/>
        <w:b/>
        <w:sz w:val="24"/>
        <w:szCs w:val="24"/>
      </w:rPr>
      <w:fldChar w:fldCharType="separate"/>
    </w:r>
    <w:r>
      <w:rPr>
        <w:rFonts w:ascii="Arial" w:hAnsi="Arial" w:cs="Arial"/>
        <w:b/>
      </w:rPr>
      <w:t>3</w:t>
    </w:r>
    <w:r>
      <w:rPr>
        <w:rFonts w:ascii="Arial" w:hAnsi="Arial" w:cs="Arial"/>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abs>
        <w:tab w:val="right" w:pos="8222"/>
        <w:tab w:val="clear" w:pos="8306"/>
      </w:tabs>
      <w:ind w:left="-1795" w:leftChars="-855" w:right="-1751" w:rightChars="-834"/>
    </w:pPr>
    <w:r>
      <w:rPr>
        <w:rFonts w:ascii="Times New Roman" w:hAnsi="Times New Roman" w:eastAsia="宋体" w:cs="Times New Roman"/>
        <w:kern w:val="2"/>
        <w:sz w:val="18"/>
        <w:szCs w:val="18"/>
        <w:lang w:val="en-US" w:eastAsia="zh-CN" w:bidi="ar-SA"/>
      </w:rPr>
      <w:pict>
        <v:rect id="矩形 3" o:spid="_x0000_s1025" style="position:absolute;left:0;margin-left:-99pt;margin-top:53.6pt;height:15.6pt;width:648pt;rotation:0f;z-index:251658240;" o:ole="f" fillcolor="#FFFFFF" filled="t" o:preferrelative="t" stroked="f" coordsize="21600,21600">
          <v:imagedata gain="65536f" blacklevel="0f" gamma="0"/>
          <o:lock v:ext="edit" position="f" selection="f" grouping="f" rotation="f" cropping="f" text="f" aspectratio="f"/>
        </v:rect>
      </w:pict>
    </w:r>
    <w:r>
      <w:rPr>
        <w:rFonts w:ascii="Times New Roman" w:hAnsi="Times New Roman" w:eastAsia="宋体" w:cs="Times New Roman"/>
        <w:kern w:val="2"/>
        <w:sz w:val="18"/>
        <w:szCs w:val="18"/>
        <w:lang w:val="en-US" w:eastAsia="zh-CN" w:bidi="ar-SA"/>
      </w:rPr>
      <w:pict>
        <v:shape id="图片框 1026" o:spid="_x0000_s1026" type="#_x0000_t75" style="height:52.5pt;width:504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61441664">
    <w:nsid w:val="158B2980"/>
    <w:multiLevelType w:val="multilevel"/>
    <w:tmpl w:val="158B2980"/>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37961011">
    <w:nsid w:val="6D8D0F33"/>
    <w:multiLevelType w:val="multilevel"/>
    <w:tmpl w:val="6D8D0F33"/>
    <w:lvl w:ilvl="0" w:tentative="1">
      <w:start w:val="1"/>
      <w:numFmt w:val="decimal"/>
      <w:lvlText w:val="%1."/>
      <w:lvlJc w:val="left"/>
      <w:pPr>
        <w:ind w:left="1080" w:hanging="36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num w:numId="1">
    <w:abstractNumId w:val="361441664"/>
  </w:num>
  <w:num w:numId="2">
    <w:abstractNumId w:val="18379610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nhideWhenUsed="0"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paragraph" w:styleId="2">
    <w:name w:val="annotation text"/>
    <w:basedOn w:val="1"/>
    <w:uiPriority w:val="0"/>
    <w:pPr>
      <w:jc w:val="left"/>
    </w:pPr>
  </w:style>
  <w:style w:type="paragraph" w:styleId="3">
    <w:name w:val="Balloon Text"/>
    <w:basedOn w:val="1"/>
    <w:semiHidden/>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uiPriority w:val="0"/>
    <w:rPr>
      <w:sz w:val="21"/>
      <w:szCs w:val="21"/>
    </w:rPr>
  </w:style>
  <w:style w:type="paragraph" w:customStyle="1" w:styleId="8">
    <w:name w:val="列出段落1"/>
    <w:basedOn w:val="1"/>
    <w:qFormat/>
    <w:uiPriority w:val="34"/>
    <w:pPr>
      <w:ind w:firstLine="420" w:firstLineChars="200"/>
    </w:pPr>
  </w:style>
  <w:style w:type="paragraph" w:customStyle="1" w:styleId="9">
    <w:name w:val="listparagraph"/>
    <w:basedOn w:val="1"/>
    <w:uiPriority w:val="0"/>
    <w:pPr>
      <w:widowControl/>
      <w:spacing w:before="100" w:beforeAutospacing="1" w:after="100" w:afterAutospacing="1"/>
      <w:jc w:val="left"/>
    </w:pPr>
    <w:rPr>
      <w:rFonts w:ascii="宋体" w:hAnsi="宋体" w:cs="宋体"/>
      <w:kern w:val="0"/>
      <w:sz w:val="24"/>
    </w:rPr>
  </w:style>
  <w:style w:type="character" w:customStyle="1" w:styleId="10">
    <w:name w:val="页脚 Char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空白规范文本[1].dot</Template>
  <Company>user</Company>
  <Pages>3</Pages>
  <Words>156</Words>
  <Characters>895</Characters>
  <Lines>7</Lines>
  <Paragraphs>2</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2016-03-10T15:01:00Z</dcterms:created>
  <dc:creator>Rossella</dc:creator>
  <cp:lastModifiedBy>段镔</cp:lastModifiedBy>
  <cp:lastPrinted>2016-03-22T06:33:00Z</cp:lastPrinted>
  <dcterms:modified xsi:type="dcterms:W3CDTF">2016-04-08T03:00:14Z</dcterms:modified>
  <dc:title>中融-承源9号证券投资集合资金信托计划</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